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526" w14:textId="37EA940F" w:rsidR="00142E70" w:rsidRDefault="00142E70" w:rsidP="00142E70">
      <w:pPr>
        <w:tabs>
          <w:tab w:val="left" w:pos="5220"/>
          <w:tab w:val="left" w:pos="7740"/>
        </w:tabs>
        <w:rPr>
          <w:rFonts w:ascii="Palatino Linotype" w:hAnsi="Palatino Linotype"/>
          <w:sz w:val="22"/>
          <w:szCs w:val="22"/>
        </w:rPr>
      </w:pPr>
      <w:r>
        <w:t xml:space="preserve">                     </w:t>
      </w:r>
      <w:r>
        <w:tab/>
        <w:t xml:space="preserve">        </w:t>
      </w:r>
      <w:r>
        <w:rPr>
          <w:rFonts w:ascii="Palatino Linotype" w:hAnsi="Palatino Linotype"/>
          <w:sz w:val="22"/>
          <w:szCs w:val="22"/>
        </w:rPr>
        <w:t>Poznań, dnia</w:t>
      </w:r>
      <w:r w:rsidR="006D25A5">
        <w:rPr>
          <w:rFonts w:ascii="Palatino Linotype" w:hAnsi="Palatino Linotype"/>
          <w:sz w:val="22"/>
          <w:szCs w:val="22"/>
        </w:rPr>
        <w:t xml:space="preserve"> 7 </w:t>
      </w:r>
      <w:r>
        <w:rPr>
          <w:rFonts w:ascii="Palatino Linotype" w:hAnsi="Palatino Linotype"/>
          <w:sz w:val="22"/>
          <w:szCs w:val="22"/>
        </w:rPr>
        <w:t>czerwca 2023 r.</w:t>
      </w:r>
    </w:p>
    <w:p w14:paraId="5127CFC3" w14:textId="77777777" w:rsidR="00142E70" w:rsidRDefault="00142E70" w:rsidP="00142E70">
      <w:pPr>
        <w:tabs>
          <w:tab w:val="left" w:pos="5220"/>
          <w:tab w:val="left" w:pos="7740"/>
        </w:tabs>
        <w:ind w:left="4253"/>
        <w:rPr>
          <w:rFonts w:ascii="Palatino Linotype" w:hAnsi="Palatino Linotype"/>
          <w:i/>
          <w:iCs/>
          <w:sz w:val="22"/>
          <w:szCs w:val="22"/>
        </w:rPr>
      </w:pPr>
      <w:r>
        <w:rPr>
          <w:rFonts w:ascii="Palatino Linotype" w:hAnsi="Palatino Linotype"/>
          <w:sz w:val="22"/>
          <w:szCs w:val="22"/>
        </w:rPr>
        <w:t xml:space="preserve">                                                                                                              </w:t>
      </w:r>
    </w:p>
    <w:p w14:paraId="7F5A4513" w14:textId="77777777" w:rsidR="00142E70" w:rsidRDefault="00142E70" w:rsidP="00142E70">
      <w:pPr>
        <w:pStyle w:val="Bezodstpw"/>
        <w:spacing w:line="276" w:lineRule="auto"/>
        <w:rPr>
          <w:rFonts w:ascii="Palatino Linotype" w:hAnsi="Palatino Linotype"/>
          <w:b/>
          <w:sz w:val="22"/>
          <w:szCs w:val="22"/>
        </w:rPr>
      </w:pPr>
      <w:r>
        <w:rPr>
          <w:rFonts w:ascii="Palatino Linotype" w:hAnsi="Palatino Linotype"/>
          <w:b/>
          <w:sz w:val="22"/>
          <w:szCs w:val="22"/>
        </w:rPr>
        <w:t>D/KO.UH.8361.21.2023</w:t>
      </w:r>
    </w:p>
    <w:p w14:paraId="4518F6EB" w14:textId="77777777" w:rsidR="00142E70" w:rsidRDefault="00142E70" w:rsidP="00142E70">
      <w:pPr>
        <w:pStyle w:val="Bezodstpw"/>
        <w:spacing w:line="276" w:lineRule="auto"/>
        <w:rPr>
          <w:rFonts w:ascii="Palatino Linotype" w:hAnsi="Palatino Linotype"/>
          <w:bCs/>
          <w:sz w:val="22"/>
          <w:szCs w:val="22"/>
        </w:rPr>
      </w:pPr>
      <w:r>
        <w:rPr>
          <w:rFonts w:ascii="Palatino Linotype" w:hAnsi="Palatino Linotype"/>
          <w:bCs/>
          <w:sz w:val="22"/>
          <w:szCs w:val="22"/>
        </w:rPr>
        <w:t>ZPO</w:t>
      </w:r>
    </w:p>
    <w:p w14:paraId="69C56983" w14:textId="77777777" w:rsidR="00142E70" w:rsidRDefault="00142E70" w:rsidP="00142E70">
      <w:pPr>
        <w:ind w:left="5103"/>
        <w:rPr>
          <w:rFonts w:ascii="Palatino Linotype" w:hAnsi="Palatino Linotype"/>
          <w:b/>
        </w:rPr>
      </w:pPr>
    </w:p>
    <w:p w14:paraId="5CC4C83E" w14:textId="64C4B60C" w:rsidR="00142E70" w:rsidRDefault="006D25A5" w:rsidP="00142E70">
      <w:pPr>
        <w:ind w:left="4962"/>
        <w:rPr>
          <w:rFonts w:ascii="Palatino Linotype" w:hAnsi="Palatino Linotype"/>
          <w:b/>
          <w:sz w:val="22"/>
          <w:szCs w:val="22"/>
        </w:rPr>
      </w:pPr>
      <w:r>
        <w:rPr>
          <w:rFonts w:ascii="Palatino Linotype" w:hAnsi="Palatino Linotype"/>
          <w:b/>
          <w:sz w:val="22"/>
          <w:szCs w:val="22"/>
        </w:rPr>
        <w:t>(dane zanonimizowane)</w:t>
      </w:r>
    </w:p>
    <w:p w14:paraId="0442E3BE" w14:textId="77777777" w:rsidR="00142E70" w:rsidRDefault="00142E70" w:rsidP="00142E70">
      <w:pPr>
        <w:ind w:left="4536"/>
        <w:rPr>
          <w:rFonts w:ascii="Palatino Linotype" w:hAnsi="Palatino Linotype"/>
          <w:b/>
          <w:sz w:val="28"/>
          <w:szCs w:val="28"/>
        </w:rPr>
      </w:pPr>
    </w:p>
    <w:p w14:paraId="1527B51C" w14:textId="77777777" w:rsidR="00142E70" w:rsidRDefault="00142E70" w:rsidP="00142E70">
      <w:pPr>
        <w:spacing w:after="240" w:line="276" w:lineRule="auto"/>
        <w:jc w:val="center"/>
        <w:rPr>
          <w:rFonts w:ascii="Palatino Linotype" w:hAnsi="Palatino Linotype"/>
          <w:b/>
          <w:sz w:val="22"/>
          <w:szCs w:val="22"/>
        </w:rPr>
      </w:pPr>
      <w:r>
        <w:rPr>
          <w:rFonts w:ascii="Palatino Linotype" w:hAnsi="Palatino Linotype"/>
          <w:b/>
          <w:sz w:val="22"/>
          <w:szCs w:val="22"/>
        </w:rPr>
        <w:t>DECYZJA</w:t>
      </w:r>
    </w:p>
    <w:p w14:paraId="2F5BB8C8" w14:textId="72E10653" w:rsidR="00142E70" w:rsidRDefault="00142E70" w:rsidP="00142E70">
      <w:pPr>
        <w:pStyle w:val="Bezodstpw"/>
        <w:spacing w:after="240"/>
        <w:jc w:val="both"/>
        <w:rPr>
          <w:rFonts w:ascii="Palatino Linotype" w:hAnsi="Palatino Linotype"/>
          <w:sz w:val="22"/>
          <w:szCs w:val="22"/>
        </w:rPr>
      </w:pPr>
      <w:r>
        <w:rPr>
          <w:rFonts w:ascii="Palatino Linotype" w:hAnsi="Palatino Linotype"/>
          <w:sz w:val="22"/>
          <w:szCs w:val="22"/>
        </w:rPr>
        <w:t xml:space="preserve">Wielkopolski Wojewódzki Inspektor Inspekcji Handlowej, działając na podstawie art. 104 § 1 ustawy z dnia 14 czerwca 1960 r. </w:t>
      </w:r>
      <w:r>
        <w:rPr>
          <w:rFonts w:ascii="Palatino Linotype" w:hAnsi="Palatino Linotype"/>
          <w:i/>
          <w:sz w:val="22"/>
          <w:szCs w:val="22"/>
        </w:rPr>
        <w:t xml:space="preserve">Kodeks postępowania administracyjnego </w:t>
      </w:r>
      <w:r>
        <w:rPr>
          <w:rFonts w:ascii="Palatino Linotype" w:hAnsi="Palatino Linotype"/>
          <w:sz w:val="22"/>
          <w:szCs w:val="22"/>
        </w:rPr>
        <w:t>(</w:t>
      </w:r>
      <w:proofErr w:type="spellStart"/>
      <w:r>
        <w:rPr>
          <w:rFonts w:ascii="Palatino Linotype" w:hAnsi="Palatino Linotype"/>
          <w:sz w:val="22"/>
          <w:szCs w:val="22"/>
        </w:rPr>
        <w:t>t.j</w:t>
      </w:r>
      <w:proofErr w:type="spellEnd"/>
      <w:r>
        <w:rPr>
          <w:rFonts w:ascii="Palatino Linotype" w:hAnsi="Palatino Linotype"/>
          <w:sz w:val="22"/>
          <w:szCs w:val="22"/>
        </w:rPr>
        <w:t xml:space="preserve">. Dz. U. z 2023 r., poz. 775 z </w:t>
      </w:r>
      <w:proofErr w:type="spellStart"/>
      <w:r>
        <w:rPr>
          <w:rFonts w:ascii="Palatino Linotype" w:hAnsi="Palatino Linotype"/>
          <w:sz w:val="22"/>
          <w:szCs w:val="22"/>
        </w:rPr>
        <w:t>późn</w:t>
      </w:r>
      <w:proofErr w:type="spellEnd"/>
      <w:r>
        <w:rPr>
          <w:rFonts w:ascii="Palatino Linotype" w:hAnsi="Palatino Linotype"/>
          <w:sz w:val="22"/>
          <w:szCs w:val="22"/>
        </w:rPr>
        <w:t>. zm.), zwanej dalej ,,Kpa”, art. 56 ust. 1 pkt 10c oraz art. 56 ust. 1 pkt 12 lit. a - c, w</w:t>
      </w:r>
      <w:r w:rsidR="006D25A5">
        <w:rPr>
          <w:rFonts w:ascii="Palatino Linotype" w:hAnsi="Palatino Linotype"/>
          <w:sz w:val="22"/>
          <w:szCs w:val="22"/>
        </w:rPr>
        <w:t> </w:t>
      </w:r>
      <w:r>
        <w:rPr>
          <w:rFonts w:ascii="Palatino Linotype" w:hAnsi="Palatino Linotype"/>
          <w:sz w:val="22"/>
          <w:szCs w:val="22"/>
        </w:rPr>
        <w:t xml:space="preserve">związku z art. 58 ust. 2 ustawy z dnia 13 czerwca 2013 r. </w:t>
      </w:r>
      <w:r>
        <w:rPr>
          <w:rFonts w:ascii="Palatino Linotype" w:hAnsi="Palatino Linotype"/>
          <w:i/>
          <w:sz w:val="22"/>
          <w:szCs w:val="22"/>
        </w:rPr>
        <w:t>o gospodarce opakowaniami i odpadami opakowaniowymi</w:t>
      </w:r>
      <w:r>
        <w:rPr>
          <w:rFonts w:ascii="Palatino Linotype" w:hAnsi="Palatino Linotype"/>
          <w:sz w:val="22"/>
          <w:szCs w:val="22"/>
        </w:rPr>
        <w:t xml:space="preserve"> (</w:t>
      </w:r>
      <w:proofErr w:type="spellStart"/>
      <w:r>
        <w:rPr>
          <w:rFonts w:ascii="Palatino Linotype" w:hAnsi="Palatino Linotype"/>
          <w:sz w:val="22"/>
          <w:szCs w:val="22"/>
        </w:rPr>
        <w:t>t.j</w:t>
      </w:r>
      <w:proofErr w:type="spellEnd"/>
      <w:r>
        <w:rPr>
          <w:rFonts w:ascii="Palatino Linotype" w:hAnsi="Palatino Linotype"/>
          <w:sz w:val="22"/>
          <w:szCs w:val="22"/>
        </w:rPr>
        <w:t xml:space="preserve">. Dz. U. z 2023 r., poz. 160 z </w:t>
      </w:r>
      <w:proofErr w:type="spellStart"/>
      <w:r>
        <w:rPr>
          <w:rFonts w:ascii="Palatino Linotype" w:hAnsi="Palatino Linotype"/>
          <w:sz w:val="22"/>
          <w:szCs w:val="22"/>
        </w:rPr>
        <w:t>późn</w:t>
      </w:r>
      <w:proofErr w:type="spellEnd"/>
      <w:r>
        <w:rPr>
          <w:rFonts w:ascii="Palatino Linotype" w:hAnsi="Palatino Linotype"/>
          <w:sz w:val="22"/>
          <w:szCs w:val="22"/>
        </w:rPr>
        <w:t>. zm.), zwanej dalej ,,ustawą”, po przeprowadzeniu postępowania administracyjnego</w:t>
      </w:r>
    </w:p>
    <w:p w14:paraId="6CCCA0AD" w14:textId="77777777" w:rsidR="00142E70" w:rsidRDefault="00142E70" w:rsidP="00142E70">
      <w:pPr>
        <w:pStyle w:val="Bezodstpw"/>
        <w:spacing w:line="276" w:lineRule="auto"/>
        <w:jc w:val="center"/>
        <w:rPr>
          <w:rFonts w:ascii="Palatino Linotype" w:hAnsi="Palatino Linotype"/>
          <w:b/>
          <w:sz w:val="22"/>
          <w:szCs w:val="22"/>
        </w:rPr>
      </w:pPr>
      <w:r>
        <w:rPr>
          <w:rFonts w:ascii="Palatino Linotype" w:hAnsi="Palatino Linotype"/>
          <w:b/>
          <w:sz w:val="22"/>
          <w:szCs w:val="22"/>
        </w:rPr>
        <w:t>wymierza</w:t>
      </w:r>
    </w:p>
    <w:p w14:paraId="013D0CC1" w14:textId="55D272E6" w:rsidR="00142E70" w:rsidRDefault="00142E70" w:rsidP="00142E70">
      <w:pPr>
        <w:suppressAutoHyphens/>
        <w:spacing w:before="240"/>
        <w:jc w:val="both"/>
        <w:rPr>
          <w:rFonts w:ascii="Palatino Linotype" w:hAnsi="Palatino Linotype"/>
          <w:bCs/>
          <w:sz w:val="22"/>
          <w:szCs w:val="22"/>
        </w:rPr>
      </w:pPr>
      <w:r>
        <w:rPr>
          <w:rFonts w:ascii="Palatino Linotype" w:hAnsi="Palatino Linotype"/>
          <w:b/>
          <w:sz w:val="22"/>
          <w:szCs w:val="22"/>
        </w:rPr>
        <w:t xml:space="preserve">przedsiębiorcy: </w:t>
      </w:r>
      <w:r w:rsidR="006D25A5">
        <w:rPr>
          <w:rFonts w:ascii="Palatino Linotype" w:hAnsi="Palatino Linotype"/>
          <w:b/>
          <w:sz w:val="22"/>
          <w:szCs w:val="22"/>
        </w:rPr>
        <w:t>(dane zanonimizowane)</w:t>
      </w:r>
      <w:r>
        <w:rPr>
          <w:rFonts w:ascii="Palatino Linotype" w:hAnsi="Palatino Linotype"/>
          <w:b/>
          <w:sz w:val="22"/>
          <w:szCs w:val="22"/>
        </w:rPr>
        <w:t>, karę pieniężną w łącznej wysokości 2.000,00 zł (słownie: dwa tysiące złotych 00/100),</w:t>
      </w:r>
      <w:r>
        <w:rPr>
          <w:rFonts w:ascii="Palatino Linotype" w:hAnsi="Palatino Linotype"/>
          <w:sz w:val="22"/>
          <w:szCs w:val="22"/>
        </w:rPr>
        <w:t xml:space="preserve"> w tym kwotę 1.000,00 zł (słownie: jeden tysiąc złotych 00/100) z tytułu </w:t>
      </w:r>
      <w:bookmarkStart w:id="0" w:name="_Hlk108779233"/>
      <w:r>
        <w:rPr>
          <w:rFonts w:ascii="Palatino Linotype" w:hAnsi="Palatino Linotype"/>
          <w:sz w:val="22"/>
          <w:szCs w:val="22"/>
        </w:rPr>
        <w:t>niepobierania opłaty recyklingowej od nabywającego torbę na zakupy z</w:t>
      </w:r>
      <w:r w:rsidR="003C1D8C">
        <w:rPr>
          <w:rFonts w:ascii="Palatino Linotype" w:hAnsi="Palatino Linotype"/>
          <w:sz w:val="22"/>
          <w:szCs w:val="22"/>
        </w:rPr>
        <w:t> </w:t>
      </w:r>
      <w:r>
        <w:rPr>
          <w:rFonts w:ascii="Palatino Linotype" w:hAnsi="Palatino Linotype"/>
          <w:sz w:val="22"/>
          <w:szCs w:val="22"/>
        </w:rPr>
        <w:t>tworzywa sztucznego</w:t>
      </w:r>
      <w:bookmarkEnd w:id="0"/>
      <w:r>
        <w:rPr>
          <w:rFonts w:ascii="Palatino Linotype" w:hAnsi="Palatino Linotype"/>
          <w:sz w:val="22"/>
          <w:szCs w:val="22"/>
        </w:rPr>
        <w:t xml:space="preserve"> przez przedsiębiorcę prowadzącego jednostkę handlu detalicznego, w której są oferowane torby na zakupy z tworzywa sztucznego przeznaczone do pakowania produktów oferowanych w tej jednostce, co stanowi naruszenie obowiązku wynikającego z</w:t>
      </w:r>
      <w:r w:rsidR="003C1D8C">
        <w:rPr>
          <w:rFonts w:ascii="Palatino Linotype" w:hAnsi="Palatino Linotype"/>
          <w:sz w:val="22"/>
          <w:szCs w:val="22"/>
        </w:rPr>
        <w:t> </w:t>
      </w:r>
      <w:r>
        <w:rPr>
          <w:rFonts w:ascii="Palatino Linotype" w:hAnsi="Palatino Linotype"/>
          <w:sz w:val="22"/>
          <w:szCs w:val="22"/>
        </w:rPr>
        <w:t xml:space="preserve">treści art. 40a ust. 1 ustawy oraz kwotę </w:t>
      </w:r>
      <w:r>
        <w:rPr>
          <w:rFonts w:ascii="Palatino Linotype" w:hAnsi="Palatino Linotype"/>
          <w:bCs/>
          <w:sz w:val="22"/>
          <w:szCs w:val="22"/>
        </w:rPr>
        <w:t>1.000,00 zł (słownie: jeden tysiąc złotych 00/100),</w:t>
      </w:r>
      <w:r>
        <w:rPr>
          <w:rFonts w:ascii="Palatino Linotype" w:hAnsi="Palatino Linotype"/>
          <w:b/>
          <w:sz w:val="22"/>
          <w:szCs w:val="22"/>
        </w:rPr>
        <w:t xml:space="preserve"> </w:t>
      </w:r>
      <w:r>
        <w:rPr>
          <w:rFonts w:ascii="Palatino Linotype" w:hAnsi="Palatino Linotype"/>
          <w:bCs/>
          <w:sz w:val="22"/>
          <w:szCs w:val="22"/>
        </w:rPr>
        <w:t>z</w:t>
      </w:r>
      <w:r w:rsidR="003C1D8C">
        <w:rPr>
          <w:rFonts w:ascii="Palatino Linotype" w:hAnsi="Palatino Linotype"/>
          <w:bCs/>
          <w:sz w:val="22"/>
          <w:szCs w:val="22"/>
        </w:rPr>
        <w:t> </w:t>
      </w:r>
      <w:r>
        <w:rPr>
          <w:rFonts w:ascii="Palatino Linotype" w:hAnsi="Palatino Linotype"/>
          <w:bCs/>
          <w:sz w:val="22"/>
          <w:szCs w:val="22"/>
        </w:rPr>
        <w:t xml:space="preserve">tytułu nieprzekazania przez przedsiębiorcę prowadzącego jednostkę handlu detalicznego </w:t>
      </w:r>
      <w:r>
        <w:rPr>
          <w:rFonts w:ascii="Palatino Linotype" w:hAnsi="Palatino Linotype"/>
          <w:bCs/>
          <w:sz w:val="22"/>
          <w:szCs w:val="22"/>
        </w:rPr>
        <w:br/>
        <w:t>i sprzedającego produkty w opakowaniach, informacji o opakowaniach i odpadach opakowaniowych użytkownikom tych produktów, w zakresie:</w:t>
      </w:r>
    </w:p>
    <w:p w14:paraId="1E1EFDFD" w14:textId="77777777" w:rsidR="00142E70" w:rsidRDefault="00142E70" w:rsidP="00142E70">
      <w:pPr>
        <w:numPr>
          <w:ilvl w:val="0"/>
          <w:numId w:val="1"/>
        </w:numPr>
        <w:ind w:left="851"/>
        <w:jc w:val="both"/>
        <w:rPr>
          <w:rFonts w:ascii="Palatino Linotype" w:hAnsi="Palatino Linotype"/>
          <w:bCs/>
          <w:sz w:val="22"/>
          <w:szCs w:val="22"/>
        </w:rPr>
      </w:pPr>
      <w:r>
        <w:rPr>
          <w:rFonts w:ascii="Palatino Linotype" w:hAnsi="Palatino Linotype"/>
          <w:bCs/>
          <w:sz w:val="22"/>
          <w:szCs w:val="22"/>
        </w:rPr>
        <w:t>dostępnych systemów zwrotu, zbierania i recyklingu odpadów opakowaniowych,</w:t>
      </w:r>
    </w:p>
    <w:p w14:paraId="26029D64" w14:textId="77777777" w:rsidR="00142E70" w:rsidRDefault="00142E70" w:rsidP="00142E70">
      <w:pPr>
        <w:numPr>
          <w:ilvl w:val="0"/>
          <w:numId w:val="1"/>
        </w:numPr>
        <w:ind w:left="851"/>
        <w:jc w:val="both"/>
        <w:rPr>
          <w:rFonts w:ascii="Palatino Linotype" w:hAnsi="Palatino Linotype"/>
          <w:sz w:val="22"/>
          <w:szCs w:val="22"/>
        </w:rPr>
      </w:pPr>
      <w:r>
        <w:rPr>
          <w:rFonts w:ascii="Palatino Linotype" w:hAnsi="Palatino Linotype"/>
          <w:sz w:val="22"/>
          <w:szCs w:val="22"/>
        </w:rPr>
        <w:t>właściwego postępowania z odpadami opakowaniowymi,</w:t>
      </w:r>
    </w:p>
    <w:p w14:paraId="4D5CD96F" w14:textId="77777777" w:rsidR="00142E70" w:rsidRDefault="00142E70" w:rsidP="00142E70">
      <w:pPr>
        <w:numPr>
          <w:ilvl w:val="0"/>
          <w:numId w:val="1"/>
        </w:numPr>
        <w:ind w:left="851"/>
        <w:jc w:val="both"/>
        <w:rPr>
          <w:rFonts w:ascii="Palatino Linotype" w:hAnsi="Palatino Linotype"/>
          <w:sz w:val="22"/>
          <w:szCs w:val="22"/>
        </w:rPr>
      </w:pPr>
      <w:r>
        <w:rPr>
          <w:rFonts w:ascii="Palatino Linotype" w:hAnsi="Palatino Linotype"/>
          <w:sz w:val="22"/>
          <w:szCs w:val="22"/>
        </w:rPr>
        <w:t>znaczenia oznaczeń stosowanych na opakowaniach,</w:t>
      </w:r>
    </w:p>
    <w:p w14:paraId="7E0E602F" w14:textId="77777777" w:rsidR="00142E70" w:rsidRDefault="00142E70" w:rsidP="00142E70">
      <w:pPr>
        <w:spacing w:after="120"/>
        <w:jc w:val="both"/>
        <w:rPr>
          <w:rFonts w:ascii="Palatino Linotype" w:hAnsi="Palatino Linotype"/>
          <w:bCs/>
          <w:sz w:val="22"/>
          <w:szCs w:val="22"/>
          <w:lang w:val="x-none"/>
        </w:rPr>
      </w:pPr>
      <w:r>
        <w:rPr>
          <w:rFonts w:ascii="Palatino Linotype" w:hAnsi="Palatino Linotype"/>
          <w:sz w:val="22"/>
          <w:szCs w:val="22"/>
        </w:rPr>
        <w:t>co najmniej przez wywieszenie informacji w miejscu sprzedaży, co stanowi naruszenie obowiązku wynikającego z treści art. 42 ustawy.</w:t>
      </w:r>
    </w:p>
    <w:p w14:paraId="088CDFF7" w14:textId="77777777" w:rsidR="00142E70" w:rsidRDefault="00142E70" w:rsidP="00142E70">
      <w:pPr>
        <w:suppressAutoHyphens/>
        <w:jc w:val="both"/>
        <w:rPr>
          <w:rFonts w:ascii="Palatino Linotype" w:hAnsi="Palatino Linotype"/>
          <w:b/>
          <w:sz w:val="22"/>
          <w:szCs w:val="22"/>
        </w:rPr>
      </w:pPr>
      <w:r>
        <w:rPr>
          <w:rFonts w:ascii="Palatino Linotype" w:hAnsi="Palatino Linotype"/>
          <w:b/>
          <w:sz w:val="22"/>
          <w:szCs w:val="22"/>
          <w:lang w:val="x-none"/>
        </w:rPr>
        <w:t xml:space="preserve">Należność </w:t>
      </w:r>
      <w:r>
        <w:rPr>
          <w:rFonts w:ascii="Palatino Linotype" w:hAnsi="Palatino Linotype"/>
          <w:b/>
          <w:sz w:val="22"/>
          <w:szCs w:val="22"/>
        </w:rPr>
        <w:t>wynikającą z wymierzonej</w:t>
      </w:r>
      <w:r>
        <w:rPr>
          <w:rFonts w:ascii="Palatino Linotype" w:hAnsi="Palatino Linotype"/>
          <w:b/>
          <w:sz w:val="22"/>
          <w:szCs w:val="22"/>
          <w:lang w:val="x-none"/>
        </w:rPr>
        <w:t xml:space="preserve"> kar</w:t>
      </w:r>
      <w:r>
        <w:rPr>
          <w:rFonts w:ascii="Palatino Linotype" w:hAnsi="Palatino Linotype"/>
          <w:b/>
          <w:sz w:val="22"/>
          <w:szCs w:val="22"/>
        </w:rPr>
        <w:t>y</w:t>
      </w:r>
      <w:r>
        <w:rPr>
          <w:rFonts w:ascii="Palatino Linotype" w:hAnsi="Palatino Linotype"/>
          <w:b/>
          <w:sz w:val="22"/>
          <w:szCs w:val="22"/>
          <w:lang w:val="x-none"/>
        </w:rPr>
        <w:t xml:space="preserve"> pieniężn</w:t>
      </w:r>
      <w:r>
        <w:rPr>
          <w:rFonts w:ascii="Palatino Linotype" w:hAnsi="Palatino Linotype"/>
          <w:b/>
          <w:sz w:val="22"/>
          <w:szCs w:val="22"/>
        </w:rPr>
        <w:t>ej</w:t>
      </w:r>
      <w:r>
        <w:rPr>
          <w:rFonts w:ascii="Palatino Linotype" w:hAnsi="Palatino Linotype"/>
          <w:b/>
          <w:sz w:val="22"/>
          <w:szCs w:val="22"/>
          <w:lang w:val="x-none"/>
        </w:rPr>
        <w:t xml:space="preserve"> strona postępowania administracyjnego (przedsiębiorca) zobowiązana jest uiścić na rachunek bankowy Wojewódzkiego Inspektoratu Inspekcji Handlowej w Poznaniu, Nr konta NBP O/O Poznań: 96 1010 1469 0032 7422 3100 0000 w terminie 14 dni od dnia, w którym decyzja o </w:t>
      </w:r>
      <w:r>
        <w:rPr>
          <w:rFonts w:ascii="Palatino Linotype" w:hAnsi="Palatino Linotype"/>
          <w:b/>
          <w:sz w:val="22"/>
          <w:szCs w:val="22"/>
        </w:rPr>
        <w:t xml:space="preserve">jej </w:t>
      </w:r>
      <w:r>
        <w:rPr>
          <w:rFonts w:ascii="Palatino Linotype" w:hAnsi="Palatino Linotype"/>
          <w:b/>
          <w:sz w:val="22"/>
          <w:szCs w:val="22"/>
          <w:lang w:val="x-none"/>
        </w:rPr>
        <w:t>wymierzeniu sta</w:t>
      </w:r>
      <w:r>
        <w:rPr>
          <w:rFonts w:ascii="Palatino Linotype" w:hAnsi="Palatino Linotype"/>
          <w:b/>
          <w:sz w:val="22"/>
          <w:szCs w:val="22"/>
        </w:rPr>
        <w:t>nie</w:t>
      </w:r>
      <w:r>
        <w:rPr>
          <w:rFonts w:ascii="Palatino Linotype" w:hAnsi="Palatino Linotype"/>
          <w:b/>
          <w:sz w:val="22"/>
          <w:szCs w:val="22"/>
          <w:lang w:val="x-none"/>
        </w:rPr>
        <w:t xml:space="preserve"> się ostateczna</w:t>
      </w:r>
      <w:r>
        <w:rPr>
          <w:rFonts w:ascii="Palatino Linotype" w:hAnsi="Palatino Linotype"/>
          <w:b/>
          <w:sz w:val="22"/>
          <w:szCs w:val="22"/>
        </w:rPr>
        <w:t>.</w:t>
      </w:r>
    </w:p>
    <w:p w14:paraId="1F78C7FF" w14:textId="77777777" w:rsidR="00142E70" w:rsidRDefault="00142E70" w:rsidP="00142E70">
      <w:pPr>
        <w:suppressAutoHyphens/>
        <w:jc w:val="center"/>
        <w:rPr>
          <w:rFonts w:ascii="Palatino Linotype" w:hAnsi="Palatino Linotype"/>
          <w:b/>
          <w:sz w:val="22"/>
          <w:szCs w:val="22"/>
          <w:u w:val="single"/>
        </w:rPr>
      </w:pPr>
    </w:p>
    <w:p w14:paraId="52A9017B" w14:textId="77777777" w:rsidR="003C1D8C" w:rsidRDefault="003C1D8C" w:rsidP="00142E70">
      <w:pPr>
        <w:suppressAutoHyphens/>
        <w:jc w:val="center"/>
        <w:rPr>
          <w:rFonts w:ascii="Palatino Linotype" w:hAnsi="Palatino Linotype"/>
          <w:b/>
          <w:sz w:val="22"/>
          <w:szCs w:val="22"/>
          <w:u w:val="single"/>
        </w:rPr>
      </w:pPr>
    </w:p>
    <w:p w14:paraId="04B6E1B4" w14:textId="77777777" w:rsidR="003C1D8C" w:rsidRDefault="003C1D8C" w:rsidP="00142E70">
      <w:pPr>
        <w:suppressAutoHyphens/>
        <w:jc w:val="center"/>
        <w:rPr>
          <w:rFonts w:ascii="Palatino Linotype" w:hAnsi="Palatino Linotype"/>
          <w:b/>
          <w:sz w:val="22"/>
          <w:szCs w:val="22"/>
          <w:u w:val="single"/>
        </w:rPr>
      </w:pPr>
    </w:p>
    <w:p w14:paraId="779D3D20" w14:textId="77777777" w:rsidR="00142E70" w:rsidRDefault="00142E70" w:rsidP="00142E70">
      <w:pPr>
        <w:suppressAutoHyphens/>
        <w:spacing w:after="120"/>
        <w:jc w:val="center"/>
        <w:rPr>
          <w:rFonts w:ascii="Palatino Linotype" w:hAnsi="Palatino Linotype"/>
          <w:b/>
          <w:sz w:val="22"/>
          <w:szCs w:val="22"/>
        </w:rPr>
      </w:pPr>
      <w:r>
        <w:rPr>
          <w:rFonts w:ascii="Palatino Linotype" w:hAnsi="Palatino Linotype"/>
          <w:b/>
          <w:sz w:val="22"/>
          <w:szCs w:val="22"/>
        </w:rPr>
        <w:t>UZASADNIENIE</w:t>
      </w:r>
    </w:p>
    <w:p w14:paraId="663EFD5E" w14:textId="1CB094F8" w:rsidR="00142E70" w:rsidRDefault="00142E70" w:rsidP="00142E70">
      <w:pPr>
        <w:overflowPunct w:val="0"/>
        <w:autoSpaceDE w:val="0"/>
        <w:autoSpaceDN w:val="0"/>
        <w:spacing w:before="60"/>
        <w:jc w:val="both"/>
        <w:rPr>
          <w:rFonts w:ascii="Palatino Linotype" w:hAnsi="Palatino Linotype"/>
          <w:sz w:val="22"/>
          <w:szCs w:val="22"/>
        </w:rPr>
      </w:pPr>
      <w:r>
        <w:rPr>
          <w:rFonts w:ascii="Palatino Linotype" w:hAnsi="Palatino Linotype"/>
          <w:sz w:val="22"/>
          <w:szCs w:val="22"/>
        </w:rPr>
        <w:t xml:space="preserve">Inspektorzy Wojewódzkiego Inspektoratu Inspekcji Handlowej w Poznaniu, Delegatura </w:t>
      </w:r>
      <w:r>
        <w:rPr>
          <w:rFonts w:ascii="Palatino Linotype" w:hAnsi="Palatino Linotype"/>
          <w:sz w:val="22"/>
          <w:szCs w:val="22"/>
        </w:rPr>
        <w:br/>
        <w:t xml:space="preserve">w Koninie, przeprowadzili w dniach od 6 do 10 marca 2023 r., kontrolę w sklepie spożywczym </w:t>
      </w:r>
      <w:r w:rsidR="003C1D8C" w:rsidRPr="003C1D8C">
        <w:rPr>
          <w:rFonts w:ascii="Palatino Linotype" w:hAnsi="Palatino Linotype"/>
          <w:b/>
          <w:bCs/>
          <w:sz w:val="22"/>
          <w:szCs w:val="22"/>
        </w:rPr>
        <w:t>(dane zanonimizowane)</w:t>
      </w:r>
      <w:r w:rsidRPr="003C1D8C">
        <w:rPr>
          <w:rFonts w:ascii="Palatino Linotype" w:hAnsi="Palatino Linotype"/>
          <w:b/>
          <w:bCs/>
          <w:sz w:val="22"/>
          <w:szCs w:val="22"/>
        </w:rPr>
        <w:t>,</w:t>
      </w:r>
      <w:r>
        <w:rPr>
          <w:rFonts w:ascii="Palatino Linotype" w:hAnsi="Palatino Linotype"/>
          <w:sz w:val="22"/>
          <w:szCs w:val="22"/>
        </w:rPr>
        <w:t xml:space="preserve"> prowadzonym przez przedsiębiorcę </w:t>
      </w:r>
      <w:r w:rsidR="003C1D8C" w:rsidRPr="003C1D8C">
        <w:rPr>
          <w:rFonts w:ascii="Palatino Linotype" w:hAnsi="Palatino Linotype"/>
          <w:b/>
          <w:bCs/>
          <w:sz w:val="22"/>
          <w:szCs w:val="22"/>
        </w:rPr>
        <w:t>(dane zanonimizowane).</w:t>
      </w:r>
    </w:p>
    <w:p w14:paraId="198AEC06" w14:textId="77777777" w:rsidR="00142E70" w:rsidRDefault="00142E70" w:rsidP="00142E70">
      <w:pPr>
        <w:suppressAutoHyphens/>
        <w:autoSpaceDE w:val="0"/>
        <w:autoSpaceDN w:val="0"/>
        <w:adjustRightInd w:val="0"/>
        <w:jc w:val="both"/>
        <w:rPr>
          <w:rFonts w:ascii="Palatino Linotype" w:hAnsi="Palatino Linotype"/>
          <w:sz w:val="22"/>
          <w:szCs w:val="22"/>
        </w:rPr>
      </w:pPr>
      <w:r>
        <w:rPr>
          <w:rFonts w:ascii="Palatino Linotype" w:eastAsia="Calibri" w:hAnsi="Palatino Linotype"/>
          <w:sz w:val="22"/>
          <w:szCs w:val="22"/>
        </w:rPr>
        <w:t xml:space="preserve">W toku kontroli inspektorzy ustalili, że przedsiębiorca prowadzi jednostkę handlu detalicznego i sprzedaje produkty w opakowaniach, a nadto </w:t>
      </w:r>
      <w:r>
        <w:rPr>
          <w:rFonts w:ascii="Palatino Linotype" w:hAnsi="Palatino Linotype"/>
          <w:sz w:val="22"/>
          <w:szCs w:val="22"/>
        </w:rPr>
        <w:t xml:space="preserve">oferuje torby na zakupy </w:t>
      </w:r>
      <w:r>
        <w:rPr>
          <w:rFonts w:ascii="Palatino Linotype" w:hAnsi="Palatino Linotype"/>
          <w:sz w:val="22"/>
          <w:szCs w:val="22"/>
        </w:rPr>
        <w:br/>
        <w:t>z tworzywa sztucznego przeznaczone do pakowania produktów oferowanych w tej jednostce</w:t>
      </w:r>
      <w:r>
        <w:rPr>
          <w:rFonts w:ascii="Palatino Linotype" w:eastAsia="Calibri" w:hAnsi="Palatino Linotype"/>
          <w:sz w:val="22"/>
          <w:szCs w:val="22"/>
        </w:rPr>
        <w:t>.</w:t>
      </w:r>
    </w:p>
    <w:p w14:paraId="018D52BD" w14:textId="77777777" w:rsidR="00142E70" w:rsidRDefault="00142E70" w:rsidP="00142E70">
      <w:pPr>
        <w:pStyle w:val="Akapitzlist"/>
        <w:suppressAutoHyphens/>
        <w:ind w:left="0"/>
        <w:contextualSpacing/>
        <w:jc w:val="both"/>
        <w:rPr>
          <w:rFonts w:ascii="Palatino Linotype" w:hAnsi="Palatino Linotype"/>
          <w:sz w:val="22"/>
          <w:szCs w:val="22"/>
        </w:rPr>
      </w:pPr>
      <w:r>
        <w:rPr>
          <w:rFonts w:ascii="Palatino Linotype" w:hAnsi="Palatino Linotype"/>
          <w:sz w:val="22"/>
          <w:szCs w:val="22"/>
        </w:rPr>
        <w:t xml:space="preserve">W wyniku czynności kontrolnych obejmujących m.in. zakup kontrolny (płyn do naczyń oraz mydło w płynie - zapakowane w bardzo lekką torbę na zakupy z tworzywa sztucznego), zweryfikowano prawidłowość wyliczania i pobierania należności, w tym za oferowane w punkcie sprzedaży opakowania. Ustalono, że na paragonie fiskalnym nie naliczono opłaty za torby na zakupy z tworzywa sztucznego typu „zrywka”, w tym opłaty recyklingowej. </w:t>
      </w:r>
    </w:p>
    <w:p w14:paraId="25ABC4C0" w14:textId="3DDA0B9A" w:rsidR="00142E70" w:rsidRDefault="00142E70" w:rsidP="00142E70">
      <w:pPr>
        <w:suppressAutoHyphens/>
        <w:jc w:val="both"/>
        <w:rPr>
          <w:rFonts w:ascii="Palatino Linotype" w:hAnsi="Palatino Linotype"/>
          <w:bCs/>
          <w:sz w:val="22"/>
          <w:szCs w:val="22"/>
        </w:rPr>
      </w:pPr>
      <w:r>
        <w:rPr>
          <w:rFonts w:ascii="Palatino Linotype" w:hAnsi="Palatino Linotype"/>
          <w:bCs/>
          <w:sz w:val="22"/>
          <w:szCs w:val="22"/>
        </w:rPr>
        <w:t xml:space="preserve">Zgodnie z treścią art. 8 pkt 15a ustawy, przez torby na zakupy z tworzywa sztucznego – rozumie się torby na zakupy, z uchwytami lub bez uchwytów, wykonane z tworzywa sztucznego, które są oferowane w jednostkach handlu detalicznego lub hurtowego, </w:t>
      </w:r>
      <w:r>
        <w:rPr>
          <w:rFonts w:ascii="Palatino Linotype" w:hAnsi="Palatino Linotype"/>
          <w:bCs/>
          <w:sz w:val="22"/>
          <w:szCs w:val="22"/>
        </w:rPr>
        <w:br/>
        <w:t xml:space="preserve">do których zalicza się m.in. (lit. b) bardzo lekkie torby na zakupy z tworzywa sztucznego </w:t>
      </w:r>
      <w:r>
        <w:rPr>
          <w:rFonts w:ascii="Palatino Linotype" w:hAnsi="Palatino Linotype"/>
          <w:bCs/>
          <w:sz w:val="22"/>
          <w:szCs w:val="22"/>
        </w:rPr>
        <w:br/>
        <w:t>o grubości materiału poniżej 15 mikrometrów, które są wymagane ze względów higienicznych lub oferowane jako podstawowe opakowanie żywności luzem, gdy pomaga to w</w:t>
      </w:r>
      <w:r w:rsidR="003C1D8C">
        <w:rPr>
          <w:rFonts w:ascii="Palatino Linotype" w:hAnsi="Palatino Linotype"/>
          <w:bCs/>
          <w:sz w:val="22"/>
          <w:szCs w:val="22"/>
        </w:rPr>
        <w:t> </w:t>
      </w:r>
      <w:r>
        <w:rPr>
          <w:rFonts w:ascii="Palatino Linotype" w:hAnsi="Palatino Linotype"/>
          <w:bCs/>
          <w:sz w:val="22"/>
          <w:szCs w:val="22"/>
        </w:rPr>
        <w:t>zapobieganiu marnowaniu żywności (tzw. „zrywka”).</w:t>
      </w:r>
    </w:p>
    <w:p w14:paraId="49A7B40C" w14:textId="77777777" w:rsidR="00142E70" w:rsidRDefault="00142E70" w:rsidP="00142E70">
      <w:pPr>
        <w:jc w:val="both"/>
        <w:rPr>
          <w:rFonts w:ascii="Palatino Linotype" w:hAnsi="Palatino Linotype"/>
          <w:sz w:val="22"/>
          <w:szCs w:val="22"/>
        </w:rPr>
      </w:pPr>
      <w:r>
        <w:rPr>
          <w:rFonts w:ascii="Palatino Linotype" w:hAnsi="Palatino Linotype"/>
          <w:sz w:val="22"/>
          <w:szCs w:val="22"/>
        </w:rPr>
        <w:t xml:space="preserve">Produkty przemysłowe (butelka płynu do naczyń, butelka mydła w płynie) zapakowane </w:t>
      </w:r>
      <w:r>
        <w:rPr>
          <w:rFonts w:ascii="Palatino Linotype" w:hAnsi="Palatino Linotype"/>
          <w:sz w:val="22"/>
          <w:szCs w:val="22"/>
        </w:rPr>
        <w:br/>
        <w:t xml:space="preserve">w pobranych torbach na zakupy typu ,,zrywka” o grubości materiału, jak ustalono w toku kontroli, poniżej 15 mikrometrów, posiadały już własne opakowanie, tym samym pobrana torba typu ,,zrywka” jako bardzo lekka torba na zakupy z tworzywa sztucznego nie była wymagana ze względów higienicznych i nie służyła opakowaniu produktów żywnościowych oferowanych luzem i tym samym podlegała opłacie recyklingowej.   </w:t>
      </w:r>
    </w:p>
    <w:p w14:paraId="41B2FB7A" w14:textId="77777777" w:rsidR="00142E70" w:rsidRDefault="00142E70" w:rsidP="00142E70">
      <w:pPr>
        <w:spacing w:after="120"/>
        <w:jc w:val="both"/>
        <w:rPr>
          <w:rFonts w:ascii="Palatino Linotype" w:hAnsi="Palatino Linotype"/>
          <w:sz w:val="22"/>
          <w:szCs w:val="22"/>
        </w:rPr>
      </w:pPr>
      <w:r>
        <w:rPr>
          <w:rFonts w:ascii="Palatino Linotype" w:hAnsi="Palatino Linotype"/>
          <w:sz w:val="22"/>
          <w:szCs w:val="22"/>
        </w:rPr>
        <w:t>Brak pobrania powyższej opłaty stanowi naruszenie art. 40a ust. 1 ustawy, albowiem przedsiębiorca prowadzący jednostkę handlu detalicznego lub hurtowego, w której są oferowane torby na zakupy z tworzywa sztucznego przeznaczone do pakowania produktów oferowanych w tej jednostce, jest obowiązany pobrać opłatę recyklingową od nabywającego torbę na zakupy z tworzywa sztucznego.</w:t>
      </w:r>
    </w:p>
    <w:p w14:paraId="0A6641A7" w14:textId="77777777" w:rsidR="00142E70" w:rsidRDefault="00142E70" w:rsidP="00142E70">
      <w:pPr>
        <w:jc w:val="both"/>
        <w:rPr>
          <w:rFonts w:ascii="Palatino Linotype" w:hAnsi="Palatino Linotype"/>
          <w:sz w:val="22"/>
          <w:szCs w:val="22"/>
        </w:rPr>
      </w:pPr>
      <w:r>
        <w:rPr>
          <w:rFonts w:ascii="Palatino Linotype" w:hAnsi="Palatino Linotype"/>
          <w:sz w:val="22"/>
          <w:szCs w:val="22"/>
        </w:rPr>
        <w:t>W toku kontroli stwierdzono ponadto, że w miejscu sprzedaży produktów w opakowaniach, nie wywieszono ani w żaden inny sposób nie przekazano użytkownikom tych produktów informacji w zakresie:</w:t>
      </w:r>
    </w:p>
    <w:p w14:paraId="0FF15E57" w14:textId="77777777" w:rsidR="00142E70" w:rsidRDefault="00142E70" w:rsidP="00142E70">
      <w:pPr>
        <w:numPr>
          <w:ilvl w:val="0"/>
          <w:numId w:val="2"/>
        </w:numPr>
        <w:jc w:val="both"/>
        <w:rPr>
          <w:rFonts w:ascii="Palatino Linotype" w:hAnsi="Palatino Linotype"/>
          <w:sz w:val="22"/>
          <w:szCs w:val="22"/>
        </w:rPr>
      </w:pPr>
      <w:r>
        <w:rPr>
          <w:rFonts w:ascii="Palatino Linotype" w:hAnsi="Palatino Linotype"/>
          <w:sz w:val="22"/>
          <w:szCs w:val="22"/>
        </w:rPr>
        <w:t>dostępnych systemów zwrotu, zbierania i recyklingu odpadów opakowaniowych,</w:t>
      </w:r>
    </w:p>
    <w:p w14:paraId="39BCEBB3" w14:textId="77777777" w:rsidR="00142E70" w:rsidRDefault="00142E70" w:rsidP="00142E70">
      <w:pPr>
        <w:numPr>
          <w:ilvl w:val="0"/>
          <w:numId w:val="2"/>
        </w:numPr>
        <w:jc w:val="both"/>
        <w:rPr>
          <w:rFonts w:ascii="Palatino Linotype" w:hAnsi="Palatino Linotype"/>
          <w:sz w:val="22"/>
          <w:szCs w:val="22"/>
        </w:rPr>
      </w:pPr>
      <w:r>
        <w:rPr>
          <w:rFonts w:ascii="Palatino Linotype" w:hAnsi="Palatino Linotype"/>
          <w:sz w:val="22"/>
          <w:szCs w:val="22"/>
        </w:rPr>
        <w:t>właściwego postępowania z odpadami opakowaniowymi,</w:t>
      </w:r>
    </w:p>
    <w:p w14:paraId="1FAAFF6E" w14:textId="77777777" w:rsidR="00142E70" w:rsidRDefault="00142E70" w:rsidP="00142E70">
      <w:pPr>
        <w:numPr>
          <w:ilvl w:val="0"/>
          <w:numId w:val="2"/>
        </w:numPr>
        <w:jc w:val="both"/>
        <w:rPr>
          <w:rFonts w:ascii="Palatino Linotype" w:hAnsi="Palatino Linotype"/>
          <w:sz w:val="22"/>
          <w:szCs w:val="22"/>
        </w:rPr>
      </w:pPr>
      <w:r>
        <w:rPr>
          <w:rFonts w:ascii="Palatino Linotype" w:hAnsi="Palatino Linotype"/>
          <w:sz w:val="22"/>
          <w:szCs w:val="22"/>
        </w:rPr>
        <w:t>znaczenia oznaczeń stosowanych na opakowaniach.</w:t>
      </w:r>
    </w:p>
    <w:p w14:paraId="7E15EAC9" w14:textId="3C226BD0" w:rsidR="00142E70" w:rsidRDefault="00142E70" w:rsidP="00142E70">
      <w:pPr>
        <w:jc w:val="both"/>
        <w:rPr>
          <w:rFonts w:ascii="Palatino Linotype" w:hAnsi="Palatino Linotype"/>
          <w:sz w:val="22"/>
          <w:szCs w:val="22"/>
        </w:rPr>
      </w:pPr>
      <w:r>
        <w:rPr>
          <w:rFonts w:ascii="Palatino Linotype" w:hAnsi="Palatino Linotype"/>
          <w:sz w:val="22"/>
          <w:szCs w:val="22"/>
        </w:rPr>
        <w:t>Nieudostępnienie powyższych informacji, co najmniej przez wywieszenie ich w miejscu sprzedaży, stanowi naruszenie przez stronę obowiązków, do przestrzegania których jest zobowiązana na podstawie przepisu art. 42 ustawy, zgodnie z którym ,,Przedsiębiorca prowadzący jednostkę handlu detalicznego lub hurtowego, który sprzedaje produkty w opakowaniach jest obowiązany przekazywać użytkownikom tych produktów informacje o</w:t>
      </w:r>
      <w:r w:rsidR="00C778FA">
        <w:rPr>
          <w:rFonts w:ascii="Palatino Linotype" w:hAnsi="Palatino Linotype"/>
          <w:sz w:val="22"/>
          <w:szCs w:val="22"/>
        </w:rPr>
        <w:t> </w:t>
      </w:r>
      <w:r>
        <w:rPr>
          <w:rFonts w:ascii="Palatino Linotype" w:hAnsi="Palatino Linotype"/>
          <w:sz w:val="22"/>
          <w:szCs w:val="22"/>
        </w:rPr>
        <w:t>opakowaniach i odpadach opakowaniowych tych produktów w zakresie:</w:t>
      </w:r>
    </w:p>
    <w:p w14:paraId="29DD1A55" w14:textId="77777777" w:rsidR="00142E70" w:rsidRDefault="00142E70" w:rsidP="00142E70">
      <w:pPr>
        <w:numPr>
          <w:ilvl w:val="0"/>
          <w:numId w:val="3"/>
        </w:numPr>
        <w:jc w:val="both"/>
        <w:rPr>
          <w:rFonts w:ascii="Palatino Linotype" w:hAnsi="Palatino Linotype"/>
          <w:sz w:val="22"/>
          <w:szCs w:val="22"/>
        </w:rPr>
      </w:pPr>
      <w:r>
        <w:rPr>
          <w:rFonts w:ascii="Palatino Linotype" w:hAnsi="Palatino Linotype"/>
          <w:sz w:val="22"/>
          <w:szCs w:val="22"/>
        </w:rPr>
        <w:t>dostępnych systemów zwrotu, zbierania i recyklingu odpadów opakowaniowych,</w:t>
      </w:r>
    </w:p>
    <w:p w14:paraId="2247E55B" w14:textId="77777777" w:rsidR="00142E70" w:rsidRDefault="00142E70" w:rsidP="00142E70">
      <w:pPr>
        <w:numPr>
          <w:ilvl w:val="0"/>
          <w:numId w:val="3"/>
        </w:numPr>
        <w:jc w:val="both"/>
        <w:rPr>
          <w:rFonts w:ascii="Palatino Linotype" w:hAnsi="Palatino Linotype"/>
          <w:sz w:val="22"/>
          <w:szCs w:val="22"/>
        </w:rPr>
      </w:pPr>
      <w:r>
        <w:rPr>
          <w:rFonts w:ascii="Palatino Linotype" w:hAnsi="Palatino Linotype"/>
          <w:sz w:val="22"/>
          <w:szCs w:val="22"/>
        </w:rPr>
        <w:t>właściwego postępowania z odpadami opakowaniowymi,</w:t>
      </w:r>
    </w:p>
    <w:p w14:paraId="3B36898F" w14:textId="77777777" w:rsidR="00142E70" w:rsidRDefault="00142E70" w:rsidP="00142E70">
      <w:pPr>
        <w:numPr>
          <w:ilvl w:val="0"/>
          <w:numId w:val="3"/>
        </w:numPr>
        <w:jc w:val="both"/>
        <w:rPr>
          <w:rFonts w:ascii="Palatino Linotype" w:hAnsi="Palatino Linotype"/>
          <w:sz w:val="22"/>
          <w:szCs w:val="22"/>
        </w:rPr>
      </w:pPr>
      <w:r>
        <w:rPr>
          <w:rFonts w:ascii="Palatino Linotype" w:hAnsi="Palatino Linotype"/>
          <w:sz w:val="22"/>
          <w:szCs w:val="22"/>
        </w:rPr>
        <w:t>znaczenia oznaczeń stosowanych na opakowaniach,</w:t>
      </w:r>
    </w:p>
    <w:p w14:paraId="364800F3" w14:textId="77777777" w:rsidR="00142E70" w:rsidRDefault="00142E70" w:rsidP="00142E70">
      <w:pPr>
        <w:spacing w:after="120"/>
        <w:jc w:val="both"/>
        <w:rPr>
          <w:rFonts w:ascii="Palatino Linotype" w:hAnsi="Palatino Linotype"/>
          <w:sz w:val="22"/>
          <w:szCs w:val="22"/>
        </w:rPr>
      </w:pPr>
      <w:r>
        <w:rPr>
          <w:rFonts w:ascii="Palatino Linotype" w:hAnsi="Palatino Linotype"/>
          <w:sz w:val="22"/>
          <w:szCs w:val="22"/>
        </w:rPr>
        <w:lastRenderedPageBreak/>
        <w:t>- co najmniej przez wywieszenie informacji w miejscu sprzedaży”.</w:t>
      </w:r>
    </w:p>
    <w:p w14:paraId="0359477E" w14:textId="77777777" w:rsidR="00142E70" w:rsidRDefault="00142E70" w:rsidP="00142E70">
      <w:pPr>
        <w:jc w:val="both"/>
        <w:rPr>
          <w:rFonts w:ascii="Palatino Linotype" w:hAnsi="Palatino Linotype"/>
          <w:sz w:val="22"/>
          <w:szCs w:val="22"/>
        </w:rPr>
      </w:pPr>
      <w:r>
        <w:rPr>
          <w:rFonts w:ascii="Palatino Linotype" w:hAnsi="Palatino Linotype"/>
          <w:sz w:val="22"/>
          <w:szCs w:val="22"/>
        </w:rPr>
        <w:t xml:space="preserve">Zgodnie z treścią art. 54 ustawy do zadań Inspekcji Handlowej należy nadzór nad przestrzeganiem przez przedsiębiorców przepisów art. 40a, art. 41 oraz art. 42 ustawy. </w:t>
      </w:r>
    </w:p>
    <w:p w14:paraId="13185EC1" w14:textId="77777777" w:rsidR="00142E70" w:rsidRDefault="00142E70" w:rsidP="00142E70">
      <w:pPr>
        <w:jc w:val="both"/>
        <w:rPr>
          <w:rFonts w:ascii="Palatino Linotype" w:hAnsi="Palatino Linotype"/>
          <w:color w:val="000000"/>
          <w:sz w:val="22"/>
          <w:szCs w:val="22"/>
        </w:rPr>
      </w:pPr>
      <w:r>
        <w:rPr>
          <w:rFonts w:ascii="Palatino Linotype" w:hAnsi="Palatino Linotype"/>
          <w:sz w:val="22"/>
          <w:szCs w:val="22"/>
        </w:rPr>
        <w:t xml:space="preserve">Jak wynika z art. 56 ust. 1 pkt 10c ustawy „administracyjnej karze pieniężnej podlega ten, kto wbrew przepisowi art. 40a ust. 1 nie pobiera opłaty recyklingowej od nabywającego torbę na zakupy z tworzywa sztucznego”. </w:t>
      </w:r>
      <w:r>
        <w:rPr>
          <w:rFonts w:ascii="Palatino Linotype" w:hAnsi="Palatino Linotype"/>
          <w:color w:val="000000"/>
          <w:sz w:val="22"/>
          <w:szCs w:val="22"/>
        </w:rPr>
        <w:t>Zgodnie z art. 56 ust. 1 pkt 12 lit. a) – c) ustawy, „administracyjnej karze pieniężnej podlega ten, kto</w:t>
      </w:r>
      <w:r>
        <w:rPr>
          <w:rFonts w:ascii="Palatino Linotype" w:hAnsi="Palatino Linotype" w:cs="Open Sans"/>
          <w:color w:val="000000"/>
          <w:sz w:val="22"/>
          <w:szCs w:val="22"/>
          <w:shd w:val="clear" w:color="auto" w:fill="FFFFFF"/>
        </w:rPr>
        <w:t xml:space="preserve"> wbrew przepisowi art. 42 prowadząc jednostkę handlu detalicznego lub hurtowego, sprzedaje produkty w opakowaniach, nie przekazując użytkownikom tych produktów informacji o opakowaniach i odpadach opakowaniowych w zakresie:</w:t>
      </w:r>
    </w:p>
    <w:p w14:paraId="28F7CB83" w14:textId="77777777" w:rsidR="00142E70" w:rsidRDefault="00142E70" w:rsidP="00142E70">
      <w:pPr>
        <w:numPr>
          <w:ilvl w:val="0"/>
          <w:numId w:val="4"/>
        </w:numPr>
        <w:shd w:val="clear" w:color="auto" w:fill="FFFFFF"/>
        <w:jc w:val="both"/>
        <w:rPr>
          <w:rFonts w:ascii="Palatino Linotype" w:hAnsi="Palatino Linotype" w:cs="Open Sans"/>
          <w:color w:val="000000"/>
          <w:sz w:val="22"/>
          <w:szCs w:val="22"/>
        </w:rPr>
      </w:pPr>
      <w:r>
        <w:rPr>
          <w:rFonts w:ascii="Palatino Linotype" w:hAnsi="Palatino Linotype" w:cs="Open Sans"/>
          <w:color w:val="000000"/>
          <w:sz w:val="22"/>
          <w:szCs w:val="22"/>
        </w:rPr>
        <w:t>dostępnych systemów zwrotu, zbierania i odzysku, w tym recyklingu, odpadów opakowaniowych,</w:t>
      </w:r>
    </w:p>
    <w:p w14:paraId="45471950" w14:textId="77777777" w:rsidR="00142E70" w:rsidRDefault="00142E70" w:rsidP="00142E70">
      <w:pPr>
        <w:numPr>
          <w:ilvl w:val="0"/>
          <w:numId w:val="4"/>
        </w:numPr>
        <w:shd w:val="clear" w:color="auto" w:fill="FFFFFF"/>
        <w:jc w:val="both"/>
        <w:rPr>
          <w:rFonts w:ascii="Palatino Linotype" w:hAnsi="Palatino Linotype" w:cs="Open Sans"/>
          <w:color w:val="000000"/>
          <w:sz w:val="22"/>
          <w:szCs w:val="22"/>
        </w:rPr>
      </w:pPr>
      <w:r>
        <w:rPr>
          <w:rFonts w:ascii="Palatino Linotype" w:hAnsi="Palatino Linotype" w:cs="Open Sans"/>
          <w:color w:val="000000"/>
          <w:sz w:val="22"/>
          <w:szCs w:val="22"/>
        </w:rPr>
        <w:t>właściwego postępowania z odpadami opakowaniowymi,</w:t>
      </w:r>
    </w:p>
    <w:p w14:paraId="53A2D8CB" w14:textId="77777777" w:rsidR="00142E70" w:rsidRDefault="00142E70" w:rsidP="00142E70">
      <w:pPr>
        <w:numPr>
          <w:ilvl w:val="0"/>
          <w:numId w:val="4"/>
        </w:numPr>
        <w:shd w:val="clear" w:color="auto" w:fill="FFFFFF"/>
        <w:jc w:val="both"/>
        <w:rPr>
          <w:rFonts w:ascii="Palatino Linotype" w:hAnsi="Palatino Linotype" w:cs="Open Sans"/>
          <w:color w:val="000000"/>
          <w:sz w:val="22"/>
          <w:szCs w:val="22"/>
        </w:rPr>
      </w:pPr>
      <w:r>
        <w:rPr>
          <w:rFonts w:ascii="Palatino Linotype" w:hAnsi="Palatino Linotype" w:cs="Open Sans"/>
          <w:color w:val="000000"/>
          <w:sz w:val="22"/>
          <w:szCs w:val="22"/>
        </w:rPr>
        <w:t>znaczenia oznaczeń stosowanych na opakowaniach</w:t>
      </w:r>
    </w:p>
    <w:p w14:paraId="2963CF92" w14:textId="77777777" w:rsidR="00142E70" w:rsidRDefault="00142E70" w:rsidP="00142E70">
      <w:pPr>
        <w:pStyle w:val="text-justify"/>
        <w:shd w:val="clear" w:color="auto" w:fill="FFFFFF"/>
        <w:spacing w:before="0" w:beforeAutospacing="0" w:after="0" w:afterAutospacing="0"/>
        <w:jc w:val="both"/>
        <w:rPr>
          <w:rFonts w:ascii="Palatino Linotype" w:hAnsi="Palatino Linotype" w:cs="Open Sans"/>
          <w:color w:val="000000"/>
          <w:sz w:val="22"/>
          <w:szCs w:val="22"/>
        </w:rPr>
      </w:pPr>
      <w:r>
        <w:rPr>
          <w:rFonts w:ascii="Palatino Linotype" w:hAnsi="Palatino Linotype" w:cs="Open Sans"/>
          <w:color w:val="000000"/>
          <w:sz w:val="22"/>
          <w:szCs w:val="22"/>
        </w:rPr>
        <w:t>co najmniej przez wywieszenie informacji w miejscu sprzedaży”.</w:t>
      </w:r>
    </w:p>
    <w:p w14:paraId="751ED61F" w14:textId="77777777" w:rsidR="00142E70" w:rsidRDefault="00142E70" w:rsidP="00142E70">
      <w:pPr>
        <w:suppressAutoHyphens/>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W myśl art. 57 pkt 4 ustawy kary pieniężne w przypadkach, o których mowa w art. 56 ust. 1 pkt 10c – 12 wymierza się w wysokości od 500 zł do 20 000 zł. Z kolei stosownie do art. 58 ust. 2 ustawy, kary pieniężne za czyny, o których mowa w art. 56 ust. 1 pkt 10c – 12 ustawy, wymierza w drodze decyzji właściwy wojewódzki inspektor inspekcji handlowej.</w:t>
      </w:r>
    </w:p>
    <w:p w14:paraId="3B096B68" w14:textId="77777777" w:rsidR="00142E70" w:rsidRDefault="00142E70" w:rsidP="00142E70">
      <w:pPr>
        <w:suppressAutoHyphens/>
        <w:jc w:val="both"/>
        <w:rPr>
          <w:rFonts w:ascii="Palatino Linotype" w:hAnsi="Palatino Linotype"/>
          <w:sz w:val="22"/>
          <w:szCs w:val="22"/>
        </w:rPr>
      </w:pPr>
      <w:r>
        <w:rPr>
          <w:rFonts w:ascii="Palatino Linotype" w:hAnsi="Palatino Linotype"/>
          <w:sz w:val="22"/>
          <w:szCs w:val="22"/>
        </w:rPr>
        <w:t xml:space="preserve">Mając na uwadze zebrany materiał dowodowy Wielkopolski Wojewódzki Inspektor Inspekcji Handlowej uznał, że zasadne jest wszczęcie postępowania administracyjnego </w:t>
      </w:r>
      <w:r>
        <w:rPr>
          <w:rFonts w:ascii="Palatino Linotype" w:hAnsi="Palatino Linotype"/>
          <w:sz w:val="22"/>
          <w:szCs w:val="22"/>
        </w:rPr>
        <w:br/>
        <w:t xml:space="preserve">w </w:t>
      </w:r>
      <w:r>
        <w:rPr>
          <w:rFonts w:ascii="Palatino Linotype" w:hAnsi="Palatino Linotype"/>
          <w:bCs/>
          <w:sz w:val="22"/>
          <w:szCs w:val="22"/>
        </w:rPr>
        <w:t>sprawie wymierzenia kary pieniężnej za</w:t>
      </w:r>
      <w:r>
        <w:rPr>
          <w:rFonts w:ascii="Palatino Linotype" w:hAnsi="Palatino Linotype"/>
          <w:sz w:val="22"/>
          <w:szCs w:val="22"/>
        </w:rPr>
        <w:t xml:space="preserve"> niewykonanie obowiązków określonych </w:t>
      </w:r>
      <w:r>
        <w:rPr>
          <w:rFonts w:ascii="Palatino Linotype" w:hAnsi="Palatino Linotype"/>
          <w:sz w:val="22"/>
          <w:szCs w:val="22"/>
        </w:rPr>
        <w:br/>
        <w:t>w art. 40a ust. 1 i art. 42 ustawy. Pismem z dnia 12 maja 2023 r., znak D/KO.UH.8361.21.2023 (data doręczenia stronie 15 maja 2023 r.), organ zawiadomił stronę o wszczęciu postępowania w sprawie wymierzenia administracyjnej kary pieniężnej. Stronę pouczono, że może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art. 10 § 1 Kpa.</w:t>
      </w:r>
      <w:r>
        <w:rPr>
          <w:rFonts w:ascii="Palatino Linotype" w:eastAsia="Calibri" w:hAnsi="Palatino Linotype"/>
          <w:sz w:val="22"/>
          <w:szCs w:val="22"/>
          <w:lang w:eastAsia="en-US"/>
        </w:rPr>
        <w:t xml:space="preserve"> </w:t>
      </w:r>
    </w:p>
    <w:p w14:paraId="736A5044" w14:textId="77777777" w:rsidR="00142E70" w:rsidRDefault="00142E70" w:rsidP="00142E70">
      <w:pPr>
        <w:suppressAutoHyphens/>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Pismem z dnia 17 maja 2023 r. strona wniosła o zminimalizowanie konsekwencji związanych z karą pieniężną za niedopełnienie obowiązków przewidzianych w ustawie. Strona wskazała na okoliczność uwidocznienia w sklepie już w trakcie trwania kontroli wymaganych przepisami prawa informacji. Ponadto, zgodnie z twierdzeniem przedsiębiorcy, pracowników przeszkolono w zakresie obowiązku pobierania opłaty recyklingowej za torby z tworzywa sztucznego, tzw. ,,zrywki”. </w:t>
      </w:r>
    </w:p>
    <w:p w14:paraId="50963896" w14:textId="77777777" w:rsidR="00142E70" w:rsidRDefault="00142E70" w:rsidP="00142E70">
      <w:pPr>
        <w:suppressAutoHyphens/>
        <w:spacing w:before="120"/>
        <w:jc w:val="both"/>
        <w:rPr>
          <w:rFonts w:ascii="Palatino Linotype" w:hAnsi="Palatino Linotype"/>
          <w:sz w:val="22"/>
          <w:szCs w:val="22"/>
        </w:rPr>
      </w:pPr>
      <w:r>
        <w:rPr>
          <w:rFonts w:ascii="Palatino Linotype" w:hAnsi="Palatino Linotype"/>
          <w:sz w:val="22"/>
          <w:szCs w:val="22"/>
        </w:rPr>
        <w:t xml:space="preserve">Podstawą do ewentualnego odstąpienia od nałożenia kary pieniężnej w niniejszej sprawie jest art. 189f § 1 Kpa, który stanowi, że „organ administracji publicznej, w drodze decyzji, odstępuje od nałożenia administracyjnej kary pieniężnej i poprzestaje na pouczeniu, jeżeli: </w:t>
      </w:r>
    </w:p>
    <w:p w14:paraId="2E05C44F" w14:textId="77777777" w:rsidR="00142E70" w:rsidRDefault="00142E70" w:rsidP="00142E70">
      <w:pPr>
        <w:pStyle w:val="Akapitzlist"/>
        <w:numPr>
          <w:ilvl w:val="0"/>
          <w:numId w:val="5"/>
        </w:numPr>
        <w:suppressAutoHyphens/>
        <w:ind w:left="284" w:hanging="284"/>
        <w:jc w:val="both"/>
        <w:rPr>
          <w:rFonts w:ascii="Palatino Linotype" w:hAnsi="Palatino Linotype"/>
          <w:sz w:val="22"/>
          <w:szCs w:val="22"/>
        </w:rPr>
      </w:pPr>
      <w:r>
        <w:rPr>
          <w:rFonts w:ascii="Palatino Linotype" w:hAnsi="Palatino Linotype"/>
          <w:sz w:val="22"/>
          <w:szCs w:val="22"/>
        </w:rPr>
        <w:t xml:space="preserve">waga naruszenia prawa jest znikoma, a strona zaprzestała naruszania prawa lub                      </w:t>
      </w:r>
    </w:p>
    <w:p w14:paraId="2E48E12B" w14:textId="77777777" w:rsidR="00142E70" w:rsidRDefault="00142E70" w:rsidP="00142E70">
      <w:pPr>
        <w:pStyle w:val="Akapitzlist"/>
        <w:numPr>
          <w:ilvl w:val="0"/>
          <w:numId w:val="5"/>
        </w:numPr>
        <w:suppressAutoHyphens/>
        <w:ind w:left="284" w:hanging="284"/>
        <w:jc w:val="both"/>
        <w:rPr>
          <w:rFonts w:ascii="Palatino Linotype" w:hAnsi="Palatino Linotype"/>
          <w:sz w:val="22"/>
          <w:szCs w:val="22"/>
        </w:rPr>
      </w:pPr>
      <w:r>
        <w:rPr>
          <w:rFonts w:ascii="Palatino Linotype" w:hAnsi="Palatino Linotype"/>
          <w:sz w:val="22"/>
          <w:szCs w:val="22"/>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CF2F9A0" w14:textId="77777777" w:rsidR="00142E70" w:rsidRDefault="00142E70" w:rsidP="00142E70">
      <w:pPr>
        <w:pStyle w:val="Tekstpodstawowyzwciciem1"/>
        <w:suppressAutoHyphens/>
        <w:ind w:firstLine="0"/>
        <w:jc w:val="both"/>
        <w:rPr>
          <w:rFonts w:ascii="Palatino Linotype" w:hAnsi="Palatino Linotype"/>
          <w:sz w:val="22"/>
          <w:szCs w:val="22"/>
        </w:rPr>
      </w:pPr>
      <w:r>
        <w:rPr>
          <w:rFonts w:ascii="Palatino Linotype" w:eastAsia="Calibri" w:hAnsi="Palatino Linotype"/>
          <w:sz w:val="22"/>
          <w:szCs w:val="22"/>
          <w:lang w:eastAsia="en-US"/>
        </w:rPr>
        <w:lastRenderedPageBreak/>
        <w:t>Wielkopolski Wojewódzki Inspektor Inspekcji Handlowej stwierdził, że w przedmiotowej sprawie nie zostały spełnione łącznie przesłanki pozwalające na zastosowanie przywoływanego powyżej przepisu Kpa. W przedmiotowej sprawie nie zachodzi bowiem przede wszystkim przesłanka znikomej wagi naruszenia prawa, co uniemożliwia odstąpienie od nałożenia administracyjnej kary pieniężnej w stosunku do kontrolowanego przedsiębiorcy i poprzestanie na pouczeniu.</w:t>
      </w:r>
      <w:r>
        <w:rPr>
          <w:rFonts w:ascii="Palatino Linotype" w:hAnsi="Palatino Linotype"/>
          <w:sz w:val="22"/>
          <w:szCs w:val="22"/>
        </w:rPr>
        <w:t xml:space="preserve"> Skoro przedsiębiorca nie wykonał </w:t>
      </w:r>
      <w:r>
        <w:rPr>
          <w:rFonts w:ascii="Palatino Linotype" w:hAnsi="Palatino Linotype"/>
          <w:sz w:val="22"/>
          <w:szCs w:val="22"/>
          <w:lang w:val="pl-PL"/>
        </w:rPr>
        <w:t xml:space="preserve">dwóch różnych </w:t>
      </w:r>
      <w:r>
        <w:rPr>
          <w:rFonts w:ascii="Palatino Linotype" w:hAnsi="Palatino Linotype"/>
          <w:sz w:val="22"/>
          <w:szCs w:val="22"/>
        </w:rPr>
        <w:t>obowiązków określonych w przepisach ustawy</w:t>
      </w:r>
      <w:r>
        <w:rPr>
          <w:rFonts w:ascii="Palatino Linotype" w:hAnsi="Palatino Linotype"/>
          <w:sz w:val="22"/>
          <w:szCs w:val="22"/>
          <w:lang w:val="pl-PL"/>
        </w:rPr>
        <w:t>,</w:t>
      </w:r>
      <w:r>
        <w:rPr>
          <w:rFonts w:ascii="Palatino Linotype" w:hAnsi="Palatino Linotype"/>
          <w:sz w:val="22"/>
          <w:szCs w:val="22"/>
        </w:rPr>
        <w:t xml:space="preserve"> mających istotne znaczenie dla ochrony</w:t>
      </w:r>
      <w:r>
        <w:rPr>
          <w:rFonts w:ascii="Palatino Linotype" w:hAnsi="Palatino Linotype"/>
          <w:sz w:val="22"/>
          <w:szCs w:val="22"/>
          <w:lang w:val="pl-PL"/>
        </w:rPr>
        <w:t xml:space="preserve"> </w:t>
      </w:r>
      <w:r>
        <w:rPr>
          <w:rFonts w:ascii="Palatino Linotype" w:hAnsi="Palatino Linotype"/>
          <w:sz w:val="22"/>
          <w:szCs w:val="22"/>
        </w:rPr>
        <w:t xml:space="preserve">środowiska, to nie można uznać, że w niniejszej sprawie zakres naruszenia przepisów ustawy, a co za tym idzie waga naruszenia prawa jest znikoma. Podkreślić należy, że jednym z głównych celów nałożenia na przedsiębiorców obowiązków zawartych w ustawie jest wzmocnienie szeroko pojętej ochrony środowiska. </w:t>
      </w:r>
      <w:r>
        <w:rPr>
          <w:rFonts w:ascii="Palatino Linotype" w:hAnsi="Palatino Linotype"/>
          <w:sz w:val="22"/>
          <w:szCs w:val="22"/>
          <w:lang w:val="pl-PL"/>
        </w:rPr>
        <w:t xml:space="preserve">Realizacji tego celu służyć ma m.in. </w:t>
      </w:r>
      <w:r>
        <w:rPr>
          <w:rFonts w:ascii="Palatino Linotype" w:hAnsi="Palatino Linotype"/>
          <w:sz w:val="22"/>
          <w:szCs w:val="22"/>
        </w:rPr>
        <w:t>prawidłowe naliczan</w:t>
      </w:r>
      <w:r>
        <w:rPr>
          <w:rFonts w:ascii="Palatino Linotype" w:hAnsi="Palatino Linotype"/>
          <w:sz w:val="22"/>
          <w:szCs w:val="22"/>
          <w:lang w:val="pl-PL"/>
        </w:rPr>
        <w:t>ie</w:t>
      </w:r>
      <w:r>
        <w:rPr>
          <w:rFonts w:ascii="Palatino Linotype" w:hAnsi="Palatino Linotype"/>
          <w:sz w:val="22"/>
          <w:szCs w:val="22"/>
        </w:rPr>
        <w:t xml:space="preserve"> opłaty recyklingowej. Wprawdzie niewątpliwie opłata ta jest dodatkowym kosztem klienta, ale jej naliczenie zapewnia istotny walor edukacyjny konsumentów. </w:t>
      </w:r>
      <w:r>
        <w:rPr>
          <w:rFonts w:ascii="Palatino Linotype" w:hAnsi="Palatino Linotype"/>
          <w:sz w:val="22"/>
          <w:szCs w:val="22"/>
          <w:lang w:val="pl-PL"/>
        </w:rPr>
        <w:t>Ustawowy obowiązek uiszczania opłaty recyklingowej</w:t>
      </w:r>
      <w:r>
        <w:rPr>
          <w:rFonts w:ascii="Palatino Linotype" w:hAnsi="Palatino Linotype"/>
          <w:sz w:val="22"/>
          <w:szCs w:val="22"/>
        </w:rPr>
        <w:t xml:space="preserve"> przyczynia się do racjonalnego wykorzystywania opakowań przez konsumentów w trakcie zakupów i</w:t>
      </w:r>
      <w:r>
        <w:rPr>
          <w:rFonts w:ascii="Palatino Linotype" w:hAnsi="Palatino Linotype"/>
          <w:sz w:val="22"/>
          <w:szCs w:val="22"/>
          <w:lang w:val="pl-PL"/>
        </w:rPr>
        <w:t xml:space="preserve"> ma </w:t>
      </w:r>
      <w:r>
        <w:rPr>
          <w:rFonts w:ascii="Palatino Linotype" w:hAnsi="Palatino Linotype"/>
          <w:sz w:val="22"/>
          <w:szCs w:val="22"/>
        </w:rPr>
        <w:t>prowadzi</w:t>
      </w:r>
      <w:r>
        <w:rPr>
          <w:rFonts w:ascii="Palatino Linotype" w:hAnsi="Palatino Linotype"/>
          <w:sz w:val="22"/>
          <w:szCs w:val="22"/>
          <w:lang w:val="pl-PL"/>
        </w:rPr>
        <w:t>ć</w:t>
      </w:r>
      <w:r>
        <w:rPr>
          <w:rFonts w:ascii="Palatino Linotype" w:hAnsi="Palatino Linotype"/>
          <w:sz w:val="22"/>
          <w:szCs w:val="22"/>
        </w:rPr>
        <w:t xml:space="preserve"> do</w:t>
      </w:r>
      <w:r>
        <w:rPr>
          <w:rFonts w:ascii="Palatino Linotype" w:hAnsi="Palatino Linotype"/>
          <w:sz w:val="22"/>
          <w:szCs w:val="22"/>
          <w:lang w:val="pl-PL"/>
        </w:rPr>
        <w:t xml:space="preserve"> ich</w:t>
      </w:r>
      <w:r>
        <w:rPr>
          <w:rFonts w:ascii="Palatino Linotype" w:hAnsi="Palatino Linotype"/>
          <w:sz w:val="22"/>
          <w:szCs w:val="22"/>
        </w:rPr>
        <w:t xml:space="preserve"> zmniejszoneg</w:t>
      </w:r>
      <w:r>
        <w:rPr>
          <w:rFonts w:ascii="Palatino Linotype" w:hAnsi="Palatino Linotype"/>
          <w:sz w:val="22"/>
          <w:szCs w:val="22"/>
          <w:lang w:val="pl-PL"/>
        </w:rPr>
        <w:t>o zużycia</w:t>
      </w:r>
      <w:r>
        <w:rPr>
          <w:rFonts w:ascii="Palatino Linotype" w:hAnsi="Palatino Linotype"/>
          <w:sz w:val="22"/>
          <w:szCs w:val="22"/>
        </w:rPr>
        <w:t xml:space="preserve">. </w:t>
      </w:r>
      <w:r>
        <w:rPr>
          <w:rFonts w:ascii="Palatino Linotype" w:hAnsi="Palatino Linotype"/>
          <w:sz w:val="22"/>
          <w:szCs w:val="22"/>
          <w:lang w:val="pl-PL"/>
        </w:rPr>
        <w:t>Równie istotne znaczenie mają przepisy statuujące obowiązek informacyjny realizowany przez przekazywanie konsumentom informacji odnośnie recyklingu, zgodnie z art. 42 ustawy.</w:t>
      </w:r>
    </w:p>
    <w:p w14:paraId="505F4225" w14:textId="77777777" w:rsidR="00142E70" w:rsidRDefault="00142E70" w:rsidP="00142E70">
      <w:pPr>
        <w:suppressAutoHyphens/>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Również mająca miejsce w niniejszej sprawie okoliczność zaprzestania naruszania przepisów prawa i podjęcia działań naprawczych, nie zwalnia strony </w:t>
      </w:r>
      <w:r>
        <w:rPr>
          <w:rFonts w:ascii="Palatino Linotype" w:eastAsia="Calibri" w:hAnsi="Palatino Linotype"/>
          <w:sz w:val="22"/>
          <w:szCs w:val="22"/>
          <w:lang w:eastAsia="en-US"/>
        </w:rPr>
        <w:br/>
        <w:t xml:space="preserve">z odpowiedzialności za niedopełnienie obowiązków stwierdzone w chwili kontroli. </w:t>
      </w:r>
    </w:p>
    <w:p w14:paraId="7179692B" w14:textId="77777777" w:rsidR="00142E70" w:rsidRDefault="00142E70" w:rsidP="00142E70">
      <w:pPr>
        <w:suppressAutoHyphens/>
        <w:jc w:val="both"/>
        <w:rPr>
          <w:rFonts w:ascii="Palatino Linotype" w:hAnsi="Palatino Linotype"/>
          <w:sz w:val="22"/>
          <w:szCs w:val="22"/>
        </w:rPr>
      </w:pPr>
      <w:r>
        <w:rPr>
          <w:rFonts w:ascii="Palatino Linotype" w:hAnsi="Palatino Linotype"/>
          <w:sz w:val="22"/>
          <w:szCs w:val="22"/>
        </w:rPr>
        <w:t>Okoliczność zaprzestania naruszania przepisów prawa i podjęcie działań naprawczych nie zwalnia strony z odpowiedzialności za niedopełnienie obowiązków, co stwierdzone zostało w toku kontroli.</w:t>
      </w:r>
    </w:p>
    <w:p w14:paraId="59C48DC1" w14:textId="77777777" w:rsidR="00142E70" w:rsidRDefault="00142E70" w:rsidP="00142E70">
      <w:pPr>
        <w:suppressAutoHyphens/>
        <w:spacing w:after="120"/>
        <w:jc w:val="both"/>
        <w:rPr>
          <w:rFonts w:ascii="Palatino Linotype" w:hAnsi="Palatino Linotype"/>
          <w:sz w:val="22"/>
          <w:szCs w:val="22"/>
        </w:rPr>
      </w:pPr>
      <w:r>
        <w:rPr>
          <w:rFonts w:ascii="Palatino Linotype" w:hAnsi="Palatino Linotype"/>
          <w:sz w:val="22"/>
          <w:szCs w:val="22"/>
        </w:rPr>
        <w:t xml:space="preserve">Wskazać należy, że odpowiedzialność wynikająca z art. 56 ust. 1 ustawy ma charakter obiektywny i powstaje z chwilą popełnienia naruszenia. Jak trafnie zauważył Wojewódzki Sąd Administracyjny w Poznaniu w wyroku z dnia 6 lipca 2016 r., sygn. III SA/Po 287/16, „Istota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w:t>
      </w:r>
      <w:r>
        <w:rPr>
          <w:rFonts w:ascii="Palatino Linotype" w:hAnsi="Palatino Linotype"/>
          <w:sz w:val="22"/>
          <w:szCs w:val="22"/>
        </w:rPr>
        <w:lastRenderedPageBreak/>
        <w:t>zostało stwierdzone w chwili kontroli, może jednak mieć wpływ na ocenę całokształtu sprawy przez organ administracji publicznej oraz wzięte pod uwagę przy ustalaniu wymiaru sankcji administracyjnoprawnej.</w:t>
      </w:r>
    </w:p>
    <w:p w14:paraId="647F1E1F" w14:textId="77777777" w:rsidR="00142E70" w:rsidRDefault="00142E70" w:rsidP="00142E70">
      <w:pPr>
        <w:suppressAutoHyphens/>
        <w:jc w:val="both"/>
        <w:rPr>
          <w:rFonts w:ascii="Palatino Linotype" w:hAnsi="Palatino Linotype"/>
          <w:sz w:val="22"/>
          <w:szCs w:val="22"/>
        </w:rPr>
      </w:pPr>
      <w:r>
        <w:rPr>
          <w:rFonts w:ascii="Palatino Linotype" w:hAnsi="Palatino Linotype"/>
          <w:sz w:val="22"/>
          <w:szCs w:val="22"/>
        </w:rPr>
        <w:t>Brak jest również podstaw do odstąpienia od wymierzenia kary pieniężnej na gruncie art. 189f § 1 pkt 2 Kpa. Organ w toku postępowania nie stwierdził, aby za to samo zachowanie na stronę została uprzednio nałożona administracyjna kara pieniężna lub strona została prawomocnie ukarana za wykroczenie lub wykroczenie skarbowe, lub prawomocnie skazana za przestępstwo lub przestępstwo skarbowe. Strona, prawidłowo pouczona o możliwości wypowiedzenia się w sprawie, nie podniosła również żadnej z powyższych okoliczności.</w:t>
      </w:r>
    </w:p>
    <w:p w14:paraId="7BB37282" w14:textId="77777777" w:rsidR="00142E70" w:rsidRDefault="00142E70" w:rsidP="00142E70">
      <w:pPr>
        <w:suppressAutoHyphens/>
        <w:jc w:val="both"/>
        <w:rPr>
          <w:rFonts w:ascii="Palatino Linotype" w:hAnsi="Palatino Linotype"/>
          <w:sz w:val="22"/>
          <w:szCs w:val="22"/>
          <w:lang w:eastAsia="ar-SA"/>
        </w:rPr>
      </w:pPr>
      <w:r>
        <w:rPr>
          <w:rFonts w:ascii="Palatino Linotype" w:hAnsi="Palatino Linotype"/>
          <w:sz w:val="22"/>
          <w:szCs w:val="22"/>
          <w:lang w:eastAsia="ar-SA"/>
        </w:rPr>
        <w:t>Wielkopolski Wojewódzki Inspektor Inspekcji Handlowej ustalił wysokość kary pieniężnej, uwzględniając kryteria określone w art. 189d Kpa.</w:t>
      </w:r>
    </w:p>
    <w:p w14:paraId="2E3CF0F8" w14:textId="77777777" w:rsidR="00142E70" w:rsidRDefault="00142E70" w:rsidP="00142E70">
      <w:pPr>
        <w:suppressAutoHyphens/>
        <w:spacing w:after="120"/>
        <w:jc w:val="both"/>
        <w:rPr>
          <w:rFonts w:ascii="Palatino Linotype" w:hAnsi="Palatino Linotype"/>
          <w:iCs/>
          <w:sz w:val="22"/>
          <w:szCs w:val="22"/>
          <w:lang w:eastAsia="ar-SA"/>
        </w:rPr>
      </w:pPr>
      <w:r>
        <w:rPr>
          <w:rFonts w:ascii="Palatino Linotype" w:hAnsi="Palatino Linotype"/>
          <w:sz w:val="22"/>
          <w:szCs w:val="22"/>
          <w:lang w:eastAsia="ar-SA"/>
        </w:rPr>
        <w:t xml:space="preserve">Oceniając </w:t>
      </w:r>
      <w:r>
        <w:rPr>
          <w:rFonts w:ascii="Palatino Linotype" w:hAnsi="Palatino Linotype"/>
          <w:iCs/>
          <w:sz w:val="22"/>
          <w:szCs w:val="22"/>
          <w:lang w:eastAsia="ar-SA"/>
        </w:rPr>
        <w:t>wagę i okoliczności naruszenia prawa, w szczególności potrzeby ochrony życia lub zdrowia, ochrony ważnego interesu publicznego oraz czas trwania naruszeń,</w:t>
      </w:r>
      <w:r>
        <w:rPr>
          <w:rFonts w:ascii="Palatino Linotype" w:hAnsi="Palatino Linotype"/>
          <w:sz w:val="22"/>
          <w:szCs w:val="22"/>
          <w:lang w:eastAsia="ar-SA"/>
        </w:rPr>
        <w:t xml:space="preserve"> organ ustalił, że w należącym do strony sklepie prowadzono sprzedaż detaliczną produktów w opakowaniach, a także oferowane były torby na zakupy z tworzywa sztucznego do pakowania produktów oferowanych w kontrolowanym sklepie. Przedsiębiorca zobowiązany był czynić zadość wymogom wynikającym z art. 40a ust. 1 oraz art. </w:t>
      </w:r>
      <w:r>
        <w:rPr>
          <w:rFonts w:ascii="Palatino Linotype" w:hAnsi="Palatino Linotype"/>
          <w:sz w:val="22"/>
          <w:szCs w:val="22"/>
        </w:rPr>
        <w:t>42 pkt 1 – 3 ustawy</w:t>
      </w:r>
      <w:r>
        <w:rPr>
          <w:rFonts w:ascii="Palatino Linotype" w:hAnsi="Palatino Linotype"/>
          <w:sz w:val="22"/>
          <w:szCs w:val="22"/>
          <w:lang w:eastAsia="ar-SA"/>
        </w:rPr>
        <w:t xml:space="preserve">, które określają jednoznacznie obowiązek pobierania opłaty recyklingowej oraz udostępnienia konsumentom informacji o opakowaniach i odpadach opakowaniowych. Brak pobierania opłaty recyklingowej oraz nieuwidocznienie informacji, w szczególności dotyczących postępowania z odpadami opakowaniowymi, istotnie wpływa na realizację celów ustawy. Uwzględniając </w:t>
      </w:r>
      <w:r>
        <w:rPr>
          <w:rFonts w:ascii="Palatino Linotype" w:hAnsi="Palatino Linotype"/>
          <w:iCs/>
          <w:sz w:val="22"/>
          <w:szCs w:val="22"/>
          <w:lang w:eastAsia="ar-SA"/>
        </w:rPr>
        <w:t>częstotliwość niedopełnienia w przeszłości obowiązku w następstwie którego ma być nałożona kara,</w:t>
      </w:r>
      <w:r>
        <w:rPr>
          <w:rFonts w:ascii="Palatino Linotype" w:hAnsi="Palatino Linotype"/>
          <w:sz w:val="22"/>
          <w:szCs w:val="22"/>
          <w:lang w:eastAsia="ar-SA"/>
        </w:rPr>
        <w:t xml:space="preserve"> organ ustalił, że nie stwierdzono wcześniej naruszenia przez stronę przedmiotowych obowiązków.</w:t>
      </w:r>
      <w:r>
        <w:rPr>
          <w:rFonts w:ascii="Palatino Linotype" w:hAnsi="Palatino Linotype"/>
          <w:sz w:val="22"/>
          <w:szCs w:val="22"/>
        </w:rPr>
        <w:t xml:space="preserve"> Analizując stopień przyczynienia się strony do powstania naruszenia prawa organ zważył, że  kontrolowany przedsiębiorca, działając na rynku jako podmiot profesjonalny, ma obowiązek znajomości i stosowania aktualnie obowiązujących przepisów prawa. Strona powinna była dołożyć należytej staranności, aby działalność gospodarcza była prowadzona zgodnie z obowiązującymi przepisami prawa</w:t>
      </w:r>
      <w:r>
        <w:rPr>
          <w:rFonts w:ascii="Palatino Linotype" w:hAnsi="Palatino Linotype"/>
          <w:bCs/>
          <w:sz w:val="22"/>
          <w:szCs w:val="22"/>
        </w:rPr>
        <w:t xml:space="preserve">. </w:t>
      </w:r>
      <w:r>
        <w:rPr>
          <w:rFonts w:ascii="Palatino Linotype" w:hAnsi="Palatino Linotype"/>
          <w:sz w:val="22"/>
          <w:szCs w:val="22"/>
          <w:lang w:eastAsia="ar-SA"/>
        </w:rPr>
        <w:t xml:space="preserve">Wielkopolski Wojewódzki Inspektor Inspekcji Handlowej uwzględnił również </w:t>
      </w:r>
      <w:r>
        <w:rPr>
          <w:rFonts w:ascii="Palatino Linotype" w:hAnsi="Palatino Linotype"/>
          <w:iCs/>
          <w:sz w:val="22"/>
          <w:szCs w:val="22"/>
          <w:lang w:eastAsia="ar-SA"/>
        </w:rPr>
        <w:t>podjęte przez stronę działania dobrowolne, które wyeliminowały ujawnione niezgodności z prawem w zakresie obowiązków informacyjnych.</w:t>
      </w:r>
    </w:p>
    <w:p w14:paraId="72F52ACA" w14:textId="77777777" w:rsidR="00142E70" w:rsidRDefault="00142E70" w:rsidP="00142E70">
      <w:pPr>
        <w:pStyle w:val="NormalnyWeb"/>
        <w:spacing w:before="120" w:beforeAutospacing="0" w:after="120" w:afterAutospacing="0"/>
        <w:jc w:val="both"/>
        <w:rPr>
          <w:rFonts w:ascii="Palatino Linotype" w:hAnsi="Palatino Linotype"/>
          <w:color w:val="FF0000"/>
          <w:sz w:val="22"/>
          <w:szCs w:val="22"/>
        </w:rPr>
      </w:pPr>
      <w:r>
        <w:rPr>
          <w:rFonts w:ascii="Palatino Linotype" w:hAnsi="Palatino Linotype"/>
          <w:sz w:val="22"/>
          <w:szCs w:val="22"/>
        </w:rPr>
        <w:t xml:space="preserve">Biorąc pod uwagę powyższe okoliczności, Wielkopolski Wojewódzki Inspektor Inspekcji Handlowej zastosował środki w postaci wymierzenia kar pieniężnych w dolnych granicach ustawowej wysokości kary, odpowiednio do stopnia naruszenia obowiązków i stanu faktycznego sprawy, tj. </w:t>
      </w:r>
      <w:r>
        <w:rPr>
          <w:rFonts w:ascii="Palatino Linotype" w:hAnsi="Palatino Linotype"/>
          <w:bCs/>
          <w:sz w:val="22"/>
          <w:szCs w:val="22"/>
        </w:rPr>
        <w:t>1.000,00 zł z tytułu niepobierania opłaty recyklingowej od nabywającego torbę na zakupy z tworzywa sztucznego oraz</w:t>
      </w:r>
      <w:r>
        <w:rPr>
          <w:rFonts w:ascii="Palatino Linotype" w:hAnsi="Palatino Linotype"/>
          <w:b/>
          <w:bCs/>
          <w:sz w:val="22"/>
          <w:szCs w:val="22"/>
        </w:rPr>
        <w:t xml:space="preserve"> </w:t>
      </w:r>
      <w:r>
        <w:rPr>
          <w:rFonts w:ascii="Palatino Linotype" w:hAnsi="Palatino Linotype"/>
          <w:bCs/>
          <w:sz w:val="22"/>
          <w:szCs w:val="22"/>
        </w:rPr>
        <w:t>1.000,00 zł z tytułu nieprzekazania przez przedsiębiorcę prowadzącego jednostkę handlu detalicznego i sprzedającego produkty w opakowaniach, informacji o opakowaniach i odpadach opakowaniowych, użytkownikom tych produktów</w:t>
      </w:r>
      <w:r>
        <w:rPr>
          <w:rFonts w:ascii="Palatino Linotype" w:hAnsi="Palatino Linotype"/>
          <w:sz w:val="22"/>
          <w:szCs w:val="22"/>
        </w:rPr>
        <w:t xml:space="preserve">. </w:t>
      </w:r>
    </w:p>
    <w:p w14:paraId="42777946" w14:textId="77777777" w:rsidR="00142E70" w:rsidRDefault="00142E70" w:rsidP="00142E70">
      <w:pPr>
        <w:suppressAutoHyphens/>
        <w:jc w:val="both"/>
        <w:rPr>
          <w:rFonts w:ascii="Palatino Linotype" w:hAnsi="Palatino Linotype"/>
          <w:i/>
          <w:sz w:val="22"/>
          <w:szCs w:val="22"/>
        </w:rPr>
      </w:pPr>
      <w:r>
        <w:rPr>
          <w:rFonts w:ascii="Palatino Linotype" w:hAnsi="Palatino Linotype"/>
          <w:sz w:val="22"/>
          <w:szCs w:val="22"/>
        </w:rPr>
        <w:t>Zgodnie z treścią art. 58 ust. 4 ustawy, kary pieniężne, o których mowa w sentencji decyzji, stanowią dochód budżetu państwa. Przedsiębiorca jest zobowiązany wpłacić kary na rachunek bankowy Wojewódzkiego Inspektoratu Inspekcji Handlowej w Poznaniu, podany w sentencji decyzji,</w:t>
      </w:r>
      <w:r>
        <w:rPr>
          <w:rFonts w:ascii="Palatino Linotype" w:hAnsi="Palatino Linotype"/>
          <w:b/>
          <w:bCs/>
          <w:sz w:val="22"/>
          <w:szCs w:val="22"/>
        </w:rPr>
        <w:t xml:space="preserve"> </w:t>
      </w:r>
      <w:r>
        <w:rPr>
          <w:rFonts w:ascii="Palatino Linotype" w:hAnsi="Palatino Linotype"/>
          <w:bCs/>
          <w:sz w:val="22"/>
          <w:szCs w:val="22"/>
        </w:rPr>
        <w:t xml:space="preserve">w terminie 14 dni od dnia, w którym decyzja o wymierzeniu kary stanie się ostateczna. Kara niezapłacona w terminie staje się zaległością podatkową w rozumieniu </w:t>
      </w:r>
      <w:r>
        <w:rPr>
          <w:rFonts w:ascii="Palatino Linotype" w:hAnsi="Palatino Linotype"/>
          <w:bCs/>
          <w:sz w:val="22"/>
          <w:szCs w:val="22"/>
        </w:rPr>
        <w:lastRenderedPageBreak/>
        <w:t xml:space="preserve">przepisów ustawy z dnia 29 sierpnia 1997 r. </w:t>
      </w:r>
      <w:r>
        <w:rPr>
          <w:rFonts w:ascii="Palatino Linotype" w:hAnsi="Palatino Linotype"/>
          <w:bCs/>
          <w:i/>
          <w:sz w:val="22"/>
          <w:szCs w:val="22"/>
        </w:rPr>
        <w:t xml:space="preserve">Ordynacja podatkowa </w:t>
      </w:r>
      <w:r>
        <w:rPr>
          <w:rFonts w:ascii="Palatino Linotype" w:hAnsi="Palatino Linotype"/>
          <w:bCs/>
          <w:sz w:val="22"/>
          <w:szCs w:val="22"/>
        </w:rPr>
        <w:t>(</w:t>
      </w:r>
      <w:proofErr w:type="spellStart"/>
      <w:r>
        <w:rPr>
          <w:rFonts w:ascii="Palatino Linotype" w:hAnsi="Palatino Linotype"/>
          <w:bCs/>
          <w:sz w:val="22"/>
          <w:szCs w:val="22"/>
        </w:rPr>
        <w:t>t.j</w:t>
      </w:r>
      <w:proofErr w:type="spellEnd"/>
      <w:r>
        <w:rPr>
          <w:rFonts w:ascii="Palatino Linotype" w:hAnsi="Palatino Linotype"/>
          <w:bCs/>
          <w:sz w:val="22"/>
          <w:szCs w:val="22"/>
        </w:rPr>
        <w:t xml:space="preserve">. Dz. U. z 2022 r., poz. 2651 z </w:t>
      </w:r>
      <w:proofErr w:type="spellStart"/>
      <w:r>
        <w:rPr>
          <w:rFonts w:ascii="Palatino Linotype" w:hAnsi="Palatino Linotype"/>
          <w:bCs/>
          <w:sz w:val="22"/>
          <w:szCs w:val="22"/>
        </w:rPr>
        <w:t>późn</w:t>
      </w:r>
      <w:proofErr w:type="spellEnd"/>
      <w:r>
        <w:rPr>
          <w:rFonts w:ascii="Palatino Linotype" w:hAnsi="Palatino Linotype"/>
          <w:bCs/>
          <w:sz w:val="22"/>
          <w:szCs w:val="22"/>
        </w:rPr>
        <w:t>. zm.).</w:t>
      </w:r>
      <w:r>
        <w:rPr>
          <w:rFonts w:ascii="Palatino Linotype" w:hAnsi="Palatino Linotype"/>
          <w:i/>
          <w:sz w:val="22"/>
          <w:szCs w:val="22"/>
        </w:rPr>
        <w:t xml:space="preserve">         </w:t>
      </w:r>
    </w:p>
    <w:p w14:paraId="7C744FDD" w14:textId="77777777" w:rsidR="00142E70" w:rsidRDefault="00142E70" w:rsidP="00142E70">
      <w:pPr>
        <w:spacing w:before="240"/>
        <w:rPr>
          <w:rFonts w:ascii="Palatino Linotype" w:hAnsi="Palatino Linotype"/>
          <w:b/>
          <w:sz w:val="16"/>
          <w:szCs w:val="16"/>
        </w:rPr>
      </w:pPr>
      <w:r>
        <w:rPr>
          <w:rFonts w:ascii="Palatino Linotype" w:hAnsi="Palatino Linotype"/>
          <w:b/>
          <w:sz w:val="16"/>
          <w:szCs w:val="16"/>
        </w:rPr>
        <w:t>Pouczenie:</w:t>
      </w:r>
    </w:p>
    <w:p w14:paraId="1528BE89" w14:textId="77777777" w:rsidR="00142E70" w:rsidRDefault="00142E70" w:rsidP="00142E70">
      <w:pPr>
        <w:numPr>
          <w:ilvl w:val="0"/>
          <w:numId w:val="6"/>
        </w:numPr>
        <w:jc w:val="both"/>
        <w:rPr>
          <w:rFonts w:ascii="Palatino Linotype" w:hAnsi="Palatino Linotype"/>
          <w:sz w:val="16"/>
          <w:szCs w:val="16"/>
        </w:rPr>
      </w:pPr>
      <w:r>
        <w:rPr>
          <w:rFonts w:ascii="Palatino Linotype" w:hAnsi="Palatino Linotype"/>
          <w:sz w:val="16"/>
          <w:szCs w:val="16"/>
        </w:rPr>
        <w:t xml:space="preserve">Od niniejszej decyzji na podstawie art. 127 § 1 i 2 Kpa oraz art. 129 § 1 i 2 Kpa w zw. z art. 5 ust. 2 ustawy z dnia 15 grudnia 2000 r. </w:t>
      </w:r>
      <w:r>
        <w:rPr>
          <w:rFonts w:ascii="Palatino Linotype" w:hAnsi="Palatino Linotype"/>
          <w:i/>
          <w:iCs/>
          <w:sz w:val="16"/>
          <w:szCs w:val="16"/>
        </w:rPr>
        <w:t>o Inspekcji Handlowej</w:t>
      </w:r>
      <w:r>
        <w:rPr>
          <w:rFonts w:ascii="Palatino Linotype" w:hAnsi="Palatino Linotype"/>
          <w:sz w:val="16"/>
          <w:szCs w:val="16"/>
        </w:rPr>
        <w:t xml:space="preserve"> (</w:t>
      </w:r>
      <w:proofErr w:type="spellStart"/>
      <w:r>
        <w:rPr>
          <w:rFonts w:ascii="Palatino Linotype" w:hAnsi="Palatino Linotype"/>
          <w:sz w:val="16"/>
          <w:szCs w:val="16"/>
        </w:rPr>
        <w:t>t.j</w:t>
      </w:r>
      <w:proofErr w:type="spellEnd"/>
      <w:r>
        <w:rPr>
          <w:rFonts w:ascii="Palatino Linotype" w:hAnsi="Palatino Linotype"/>
          <w:sz w:val="16"/>
          <w:szCs w:val="16"/>
        </w:rPr>
        <w:t xml:space="preserve">. Dz. U. z 2020 r., poz. 1706 z </w:t>
      </w:r>
      <w:proofErr w:type="spellStart"/>
      <w:r>
        <w:rPr>
          <w:rFonts w:ascii="Palatino Linotype" w:hAnsi="Palatino Linotype"/>
          <w:sz w:val="16"/>
          <w:szCs w:val="16"/>
        </w:rPr>
        <w:t>późn</w:t>
      </w:r>
      <w:proofErr w:type="spellEnd"/>
      <w:r>
        <w:rPr>
          <w:rFonts w:ascii="Palatino Linotype" w:hAnsi="Palatino Linotype"/>
          <w:sz w:val="16"/>
          <w:szCs w:val="16"/>
        </w:rPr>
        <w:t xml:space="preserve">. zm.) przysługuje stronie odwołanie do Prezesa Urzędu Ochrony Konkurencji i Konsumentów 00-950 Warszawa, Plac Powstańców Warszawy 1, składane na piśmie za pośrednictwem Wielkopolskiego Wojewódzkiego Inspektora Inspekcji Handlowej, </w:t>
      </w:r>
      <w:r>
        <w:rPr>
          <w:rFonts w:ascii="Palatino Linotype" w:hAnsi="Palatino Linotype"/>
          <w:sz w:val="16"/>
          <w:szCs w:val="16"/>
        </w:rPr>
        <w:br/>
        <w:t xml:space="preserve">skr. poczt. Nr 254, 60-967 Poznań 9, w terminie 14 dni od dnia jej doręczenia. </w:t>
      </w:r>
    </w:p>
    <w:p w14:paraId="57223AF3" w14:textId="77777777" w:rsidR="00142E70" w:rsidRDefault="00142E70" w:rsidP="00142E70">
      <w:pPr>
        <w:numPr>
          <w:ilvl w:val="0"/>
          <w:numId w:val="6"/>
        </w:numPr>
        <w:jc w:val="both"/>
        <w:rPr>
          <w:i/>
          <w:iCs/>
          <w:sz w:val="16"/>
          <w:szCs w:val="16"/>
        </w:rPr>
      </w:pPr>
      <w:r>
        <w:rPr>
          <w:rFonts w:ascii="Palatino Linotype" w:hAnsi="Palatino Linotype"/>
          <w:bCs/>
          <w:sz w:val="16"/>
          <w:szCs w:val="16"/>
        </w:rPr>
        <w:t xml:space="preserve">Zgodnie z art. 127a § 1 Kpa w trakcie biegu terminu do wniesienia odwołania strona może zrzec się prawa </w:t>
      </w:r>
      <w:r>
        <w:rPr>
          <w:rFonts w:ascii="Palatino Linotype" w:hAnsi="Palatino Linotype"/>
          <w:bCs/>
          <w:sz w:val="16"/>
          <w:szCs w:val="16"/>
        </w:rPr>
        <w:br/>
        <w:t>do wniesienia odwołania wobec organu administracji publicznej, który wydał decyzje.</w:t>
      </w:r>
    </w:p>
    <w:p w14:paraId="573C6A6C" w14:textId="77777777" w:rsidR="00142E70" w:rsidRDefault="00142E70" w:rsidP="00142E70">
      <w:pPr>
        <w:numPr>
          <w:ilvl w:val="0"/>
          <w:numId w:val="6"/>
        </w:numPr>
        <w:jc w:val="both"/>
        <w:rPr>
          <w:i/>
          <w:iCs/>
          <w:sz w:val="16"/>
          <w:szCs w:val="16"/>
        </w:rPr>
      </w:pPr>
      <w:r>
        <w:rPr>
          <w:rFonts w:ascii="Palatino Linotype" w:hAnsi="Palatino Linotype"/>
          <w:bCs/>
          <w:sz w:val="16"/>
          <w:szCs w:val="16"/>
        </w:rPr>
        <w:t xml:space="preserve">Zgodnie z art. 127a § 2 Kpa z dniem doręczenia organowi administracji publicznej oświadczenia o zrzeczeniu </w:t>
      </w:r>
      <w:r>
        <w:rPr>
          <w:rFonts w:ascii="Palatino Linotype" w:hAnsi="Palatino Linotype"/>
          <w:bCs/>
          <w:sz w:val="16"/>
          <w:szCs w:val="16"/>
        </w:rPr>
        <w:br/>
        <w:t xml:space="preserve">się prawa do wniesienia odwołania przez ostatnią ze stron postępowania, decyzja staje się ostateczna </w:t>
      </w:r>
      <w:r>
        <w:rPr>
          <w:rFonts w:ascii="Palatino Linotype" w:hAnsi="Palatino Linotype"/>
          <w:bCs/>
          <w:sz w:val="16"/>
          <w:szCs w:val="16"/>
        </w:rPr>
        <w:br/>
        <w:t>i prawomocna. Skutkuje to również brakiem możliwości zaskarżenia decyzji do Wojewódzkiego Sądu Administracyjnego.</w:t>
      </w:r>
    </w:p>
    <w:p w14:paraId="43CB8B86" w14:textId="77777777" w:rsidR="00142E70" w:rsidRDefault="00142E70" w:rsidP="00142E70">
      <w:pPr>
        <w:numPr>
          <w:ilvl w:val="0"/>
          <w:numId w:val="6"/>
        </w:numPr>
        <w:suppressAutoHyphens/>
        <w:jc w:val="both"/>
        <w:rPr>
          <w:rFonts w:ascii="Palatino Linotype" w:hAnsi="Palatino Linotype"/>
          <w:sz w:val="16"/>
          <w:szCs w:val="16"/>
        </w:rPr>
      </w:pPr>
      <w:r>
        <w:rPr>
          <w:rFonts w:ascii="Palatino Linotype" w:hAnsi="Palatino Linotype"/>
          <w:bCs/>
          <w:sz w:val="16"/>
          <w:szCs w:val="16"/>
        </w:rPr>
        <w:t xml:space="preserve">W zakresie nieuregulowanym w ustawie do kar pieniężnych stosuje się odpowiednio przepisy działu III ustawy </w:t>
      </w:r>
      <w:r>
        <w:rPr>
          <w:rFonts w:ascii="Palatino Linotype" w:hAnsi="Palatino Linotype"/>
          <w:bCs/>
          <w:i/>
          <w:iCs/>
          <w:sz w:val="16"/>
          <w:szCs w:val="16"/>
        </w:rPr>
        <w:t>Ordynacja podatkowa</w:t>
      </w:r>
      <w:r>
        <w:rPr>
          <w:rFonts w:ascii="Palatino Linotype" w:hAnsi="Palatino Linotype"/>
          <w:bCs/>
          <w:sz w:val="16"/>
          <w:szCs w:val="16"/>
        </w:rPr>
        <w:t>. Uprawnienia organów podatkowych przysługują Wielkopolskiemu Wojewódzkiemu Inspektorowi Inspekcji Handlowej.</w:t>
      </w:r>
    </w:p>
    <w:p w14:paraId="72B468CC" w14:textId="77777777" w:rsidR="00142E70" w:rsidRDefault="00142E70" w:rsidP="00142E70">
      <w:pPr>
        <w:numPr>
          <w:ilvl w:val="0"/>
          <w:numId w:val="6"/>
        </w:numPr>
        <w:jc w:val="both"/>
        <w:rPr>
          <w:rFonts w:ascii="Calibri" w:hAnsi="Calibri" w:cs="Calibri"/>
          <w:color w:val="000000"/>
          <w:sz w:val="16"/>
          <w:szCs w:val="16"/>
        </w:rPr>
      </w:pPr>
      <w:r>
        <w:rPr>
          <w:rFonts w:ascii="Palatino Linotype" w:hAnsi="Palatino Linotype" w:cs="Calibri"/>
          <w:color w:val="000000"/>
          <w:sz w:val="16"/>
          <w:szCs w:val="16"/>
        </w:rPr>
        <w:t>Kara pieniężna podlega egzekucji w trybie przepisów ustawy z dnia 17 czerwca 1966 r. </w:t>
      </w:r>
      <w:r>
        <w:rPr>
          <w:rFonts w:ascii="Palatino Linotype" w:hAnsi="Palatino Linotype" w:cs="Calibri"/>
          <w:i/>
          <w:iCs/>
          <w:color w:val="000000"/>
          <w:sz w:val="16"/>
          <w:szCs w:val="16"/>
        </w:rPr>
        <w:t>o postępowaniu egzekucyjnym w administracji</w:t>
      </w:r>
      <w:r>
        <w:rPr>
          <w:rFonts w:ascii="Palatino Linotype" w:hAnsi="Palatino Linotype" w:cs="Calibri"/>
          <w:color w:val="000000"/>
          <w:sz w:val="16"/>
          <w:szCs w:val="16"/>
        </w:rPr>
        <w:t> (</w:t>
      </w:r>
      <w:proofErr w:type="spellStart"/>
      <w:r>
        <w:rPr>
          <w:rFonts w:ascii="Palatino Linotype" w:hAnsi="Palatino Linotype" w:cs="Calibri"/>
          <w:color w:val="000000"/>
          <w:sz w:val="16"/>
          <w:szCs w:val="16"/>
        </w:rPr>
        <w:t>t.j</w:t>
      </w:r>
      <w:proofErr w:type="spellEnd"/>
      <w:r>
        <w:rPr>
          <w:rFonts w:ascii="Palatino Linotype" w:hAnsi="Palatino Linotype" w:cs="Calibri"/>
          <w:color w:val="000000"/>
          <w:sz w:val="16"/>
          <w:szCs w:val="16"/>
        </w:rPr>
        <w:t xml:space="preserve">. </w:t>
      </w:r>
      <w:r>
        <w:rPr>
          <w:rFonts w:ascii="Palatino Linotype" w:hAnsi="Palatino Linotype"/>
          <w:bCs/>
          <w:sz w:val="16"/>
          <w:szCs w:val="16"/>
        </w:rPr>
        <w:t xml:space="preserve">Dz. U. z 2022 r., poz. 479 z </w:t>
      </w:r>
      <w:proofErr w:type="spellStart"/>
      <w:r>
        <w:rPr>
          <w:rFonts w:ascii="Palatino Linotype" w:hAnsi="Palatino Linotype"/>
          <w:bCs/>
          <w:sz w:val="16"/>
          <w:szCs w:val="16"/>
        </w:rPr>
        <w:t>późn</w:t>
      </w:r>
      <w:proofErr w:type="spellEnd"/>
      <w:r>
        <w:rPr>
          <w:rFonts w:ascii="Palatino Linotype" w:hAnsi="Palatino Linotype"/>
          <w:bCs/>
          <w:sz w:val="16"/>
          <w:szCs w:val="16"/>
        </w:rPr>
        <w:t>. zm.</w:t>
      </w:r>
      <w:r>
        <w:rPr>
          <w:rFonts w:ascii="Palatino Linotype" w:hAnsi="Palatino Linotype" w:cs="Calibri"/>
          <w:color w:val="000000"/>
          <w:sz w:val="16"/>
          <w:szCs w:val="16"/>
        </w:rPr>
        <w:t xml:space="preserve">) w zakresie egzekucji obowiązków </w:t>
      </w:r>
      <w:r>
        <w:rPr>
          <w:rFonts w:ascii="Palatino Linotype" w:hAnsi="Palatino Linotype" w:cs="Calibri"/>
          <w:color w:val="000000"/>
          <w:sz w:val="16"/>
          <w:szCs w:val="16"/>
        </w:rPr>
        <w:br/>
        <w:t>o charakterze pieniężnym.</w:t>
      </w:r>
    </w:p>
    <w:p w14:paraId="0E254124" w14:textId="77777777" w:rsidR="00142E70" w:rsidRDefault="00142E70" w:rsidP="00142E70">
      <w:pPr>
        <w:rPr>
          <w:rFonts w:ascii="Palatino Linotype" w:hAnsi="Palatino Linotype"/>
          <w:b/>
          <w:sz w:val="16"/>
          <w:szCs w:val="16"/>
        </w:rPr>
      </w:pPr>
    </w:p>
    <w:p w14:paraId="4640AC43" w14:textId="77777777" w:rsidR="00142E70" w:rsidRDefault="00142E70" w:rsidP="00142E70">
      <w:pPr>
        <w:rPr>
          <w:rFonts w:ascii="Palatino Linotype" w:hAnsi="Palatino Linotype"/>
          <w:b/>
          <w:sz w:val="16"/>
          <w:szCs w:val="16"/>
        </w:rPr>
      </w:pPr>
      <w:r>
        <w:rPr>
          <w:rFonts w:ascii="Palatino Linotype" w:hAnsi="Palatino Linotype"/>
          <w:b/>
          <w:sz w:val="16"/>
          <w:szCs w:val="16"/>
        </w:rPr>
        <w:t>Otrzymują:</w:t>
      </w:r>
    </w:p>
    <w:p w14:paraId="3A1D6A4B" w14:textId="77777777" w:rsidR="00142E70" w:rsidRDefault="00142E70" w:rsidP="00142E70">
      <w:pPr>
        <w:pStyle w:val="Bezodstpw"/>
        <w:numPr>
          <w:ilvl w:val="0"/>
          <w:numId w:val="7"/>
        </w:numPr>
        <w:jc w:val="both"/>
        <w:rPr>
          <w:rFonts w:ascii="Palatino Linotype" w:hAnsi="Palatino Linotype"/>
          <w:sz w:val="16"/>
          <w:szCs w:val="16"/>
        </w:rPr>
      </w:pPr>
      <w:r>
        <w:rPr>
          <w:rFonts w:ascii="Palatino Linotype" w:hAnsi="Palatino Linotype"/>
          <w:sz w:val="16"/>
          <w:szCs w:val="16"/>
        </w:rPr>
        <w:t>strona;</w:t>
      </w:r>
    </w:p>
    <w:p w14:paraId="1583A4ED" w14:textId="77777777" w:rsidR="00142E70" w:rsidRDefault="00142E70" w:rsidP="00142E70">
      <w:pPr>
        <w:pStyle w:val="Bezodstpw"/>
        <w:numPr>
          <w:ilvl w:val="0"/>
          <w:numId w:val="7"/>
        </w:numPr>
        <w:jc w:val="both"/>
        <w:rPr>
          <w:rFonts w:ascii="Palatino Linotype" w:hAnsi="Palatino Linotype"/>
          <w:sz w:val="16"/>
          <w:szCs w:val="16"/>
        </w:rPr>
      </w:pPr>
      <w:r>
        <w:rPr>
          <w:rFonts w:ascii="Palatino Linotype" w:hAnsi="Palatino Linotype"/>
          <w:sz w:val="16"/>
          <w:szCs w:val="16"/>
        </w:rPr>
        <w:t>BA;</w:t>
      </w:r>
    </w:p>
    <w:p w14:paraId="765ADE3A" w14:textId="77777777" w:rsidR="00142E70" w:rsidRDefault="00142E70" w:rsidP="00142E70">
      <w:pPr>
        <w:pStyle w:val="Bezodstpw"/>
        <w:numPr>
          <w:ilvl w:val="0"/>
          <w:numId w:val="7"/>
        </w:numPr>
        <w:suppressAutoHyphens/>
        <w:jc w:val="both"/>
      </w:pPr>
      <w:r>
        <w:rPr>
          <w:rFonts w:ascii="Palatino Linotype" w:hAnsi="Palatino Linotype"/>
          <w:sz w:val="16"/>
          <w:szCs w:val="16"/>
        </w:rPr>
        <w:t>a/a.</w:t>
      </w:r>
    </w:p>
    <w:p w14:paraId="170C57E0" w14:textId="77777777" w:rsidR="00142E70" w:rsidRDefault="00142E70" w:rsidP="00142E70">
      <w:pPr>
        <w:widowControl w:val="0"/>
        <w:tabs>
          <w:tab w:val="left" w:pos="8789"/>
        </w:tabs>
        <w:jc w:val="both"/>
        <w:rPr>
          <w:rFonts w:ascii="Palatino Linotype" w:hAnsi="Palatino Linotype"/>
          <w:sz w:val="22"/>
          <w:szCs w:val="22"/>
        </w:rPr>
      </w:pPr>
    </w:p>
    <w:p w14:paraId="506C9319" w14:textId="77777777" w:rsidR="00CC39F9" w:rsidRDefault="00CC39F9" w:rsidP="00CC39F9">
      <w:pPr>
        <w:ind w:left="1416" w:firstLine="708"/>
        <w:rPr>
          <w:rFonts w:ascii="Palatino Linotype" w:hAnsi="Palatino Linotype"/>
          <w:sz w:val="22"/>
          <w:szCs w:val="22"/>
        </w:rPr>
      </w:pPr>
    </w:p>
    <w:p w14:paraId="5E31BE8D" w14:textId="77777777" w:rsidR="00CC39F9" w:rsidRDefault="00CC39F9" w:rsidP="00CC39F9">
      <w:pPr>
        <w:ind w:left="1416" w:firstLine="708"/>
        <w:rPr>
          <w:rFonts w:ascii="Palatino Linotype" w:hAnsi="Palatino Linotype"/>
          <w:sz w:val="22"/>
          <w:szCs w:val="22"/>
        </w:rPr>
      </w:pPr>
    </w:p>
    <w:p w14:paraId="63AA3A17" w14:textId="77777777" w:rsidR="00CC39F9" w:rsidRDefault="00CC39F9" w:rsidP="00CC39F9">
      <w:pPr>
        <w:ind w:left="4248" w:firstLine="708"/>
        <w:rPr>
          <w:rFonts w:ascii="Palatino Linotype" w:hAnsi="Palatino Linotype"/>
          <w:sz w:val="22"/>
          <w:szCs w:val="22"/>
        </w:rPr>
      </w:pPr>
      <w:r>
        <w:rPr>
          <w:rFonts w:ascii="Palatino Linotype" w:hAnsi="Palatino Linotype"/>
          <w:sz w:val="22"/>
          <w:szCs w:val="22"/>
        </w:rPr>
        <w:t xml:space="preserve">Wielkopolski Wojewódzki Inspektor </w:t>
      </w:r>
    </w:p>
    <w:p w14:paraId="4F270893" w14:textId="70540E01" w:rsidR="00D826B4" w:rsidRDefault="00CC39F9" w:rsidP="00CC39F9">
      <w:pPr>
        <w:ind w:left="4248" w:firstLine="708"/>
        <w:rPr>
          <w:rFonts w:ascii="Palatino Linotype" w:hAnsi="Palatino Linotype"/>
          <w:sz w:val="22"/>
          <w:szCs w:val="22"/>
        </w:rPr>
      </w:pPr>
      <w:r>
        <w:rPr>
          <w:rFonts w:ascii="Palatino Linotype" w:hAnsi="Palatino Linotype"/>
          <w:sz w:val="22"/>
          <w:szCs w:val="22"/>
        </w:rPr>
        <w:t>Inspekcji Handlowej</w:t>
      </w:r>
    </w:p>
    <w:p w14:paraId="73167764" w14:textId="46F7CCCF" w:rsidR="00CC39F9" w:rsidRPr="00CC39F9" w:rsidRDefault="00CC39F9" w:rsidP="00CC39F9">
      <w:pPr>
        <w:ind w:left="4248" w:firstLine="708"/>
        <w:rPr>
          <w:rFonts w:ascii="Palatino Linotype" w:hAnsi="Palatino Linotype"/>
          <w:sz w:val="22"/>
          <w:szCs w:val="22"/>
        </w:rPr>
      </w:pPr>
      <w:r>
        <w:rPr>
          <w:rFonts w:ascii="Palatino Linotype" w:hAnsi="Palatino Linotype"/>
          <w:sz w:val="22"/>
          <w:szCs w:val="22"/>
        </w:rPr>
        <w:t>Elżbieta Wełnitz-Kędra</w:t>
      </w:r>
    </w:p>
    <w:sectPr w:rsidR="00CC39F9" w:rsidRPr="00CC39F9" w:rsidSect="003C1D8C">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E02C" w14:textId="77777777" w:rsidR="00061B9D" w:rsidRDefault="00061B9D" w:rsidP="00142E70">
      <w:r>
        <w:separator/>
      </w:r>
    </w:p>
  </w:endnote>
  <w:endnote w:type="continuationSeparator" w:id="0">
    <w:p w14:paraId="5328B7C4" w14:textId="77777777" w:rsidR="00061B9D" w:rsidRDefault="00061B9D" w:rsidP="0014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B117" w14:textId="77777777" w:rsidR="00061B9D" w:rsidRDefault="00061B9D" w:rsidP="00142E70">
      <w:r>
        <w:separator/>
      </w:r>
    </w:p>
  </w:footnote>
  <w:footnote w:type="continuationSeparator" w:id="0">
    <w:p w14:paraId="6DE5FC84" w14:textId="77777777" w:rsidR="00061B9D" w:rsidRDefault="00061B9D" w:rsidP="0014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AA73" w14:textId="77777777" w:rsidR="00142E70" w:rsidRDefault="00142E70" w:rsidP="00142E70">
    <w:pPr>
      <w:pStyle w:val="Nagwek"/>
    </w:pPr>
  </w:p>
  <w:p w14:paraId="1097F14C" w14:textId="77777777" w:rsidR="00142E70" w:rsidRDefault="00142E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2CCB" w14:textId="77777777" w:rsidR="003C1D8C" w:rsidRPr="00CD369C" w:rsidRDefault="003C1D8C" w:rsidP="003C1D8C">
    <w:pPr>
      <w:jc w:val="center"/>
    </w:pPr>
    <w:r w:rsidRPr="00CD369C">
      <w:object w:dxaOrig="660" w:dyaOrig="735" w14:anchorId="494E7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pt;height:36.75pt" fillcolor="window">
          <v:imagedata r:id="rId1" o:title=""/>
        </v:shape>
        <o:OLEObject Type="Embed" ProgID="Unknown" ShapeID="_x0000_i1034" DrawAspect="Content" ObjectID="_1762678109" r:id="rId2"/>
      </w:object>
    </w:r>
  </w:p>
  <w:p w14:paraId="622F46D4" w14:textId="77777777" w:rsidR="003C1D8C" w:rsidRPr="00CD369C" w:rsidRDefault="003C1D8C" w:rsidP="003C1D8C">
    <w:pPr>
      <w:jc w:val="center"/>
    </w:pPr>
    <w:r w:rsidRPr="00CD369C">
      <w:t>WIELKOPOLSKI  WOJEWÓDZKI  INSPEKTOR</w:t>
    </w:r>
  </w:p>
  <w:p w14:paraId="4ABD201C" w14:textId="77777777" w:rsidR="003C1D8C" w:rsidRDefault="003C1D8C" w:rsidP="003C1D8C">
    <w:pPr>
      <w:jc w:val="center"/>
    </w:pPr>
    <w:r w:rsidRPr="00CD369C">
      <w:t>INSPEKCJI  HANDLOWEJ</w:t>
    </w:r>
  </w:p>
  <w:p w14:paraId="5485BDFE" w14:textId="77777777" w:rsidR="003C1D8C" w:rsidRPr="00CD369C" w:rsidRDefault="003C1D8C" w:rsidP="003C1D8C">
    <w:pPr>
      <w:jc w:val="center"/>
    </w:pPr>
    <w:r>
      <w:t>Al. Marcinkowskiego 3, 61 -745 Poznań</w:t>
    </w:r>
  </w:p>
  <w:p w14:paraId="29D6A1BA" w14:textId="77777777" w:rsidR="003C1D8C" w:rsidRDefault="003C1D8C" w:rsidP="003C1D8C">
    <w:pPr>
      <w:pStyle w:val="Nagwek"/>
    </w:pPr>
  </w:p>
  <w:p w14:paraId="2A0717FD" w14:textId="77777777" w:rsidR="003C1D8C" w:rsidRDefault="003C1D8C" w:rsidP="003C1D8C">
    <w:pPr>
      <w:pStyle w:val="Nagwek"/>
    </w:pPr>
  </w:p>
  <w:p w14:paraId="137ED208" w14:textId="77777777" w:rsidR="003C1D8C" w:rsidRDefault="003C1D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4CE"/>
    <w:multiLevelType w:val="hybridMultilevel"/>
    <w:tmpl w:val="EB826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A4557A"/>
    <w:multiLevelType w:val="hybridMultilevel"/>
    <w:tmpl w:val="DE6C522C"/>
    <w:lvl w:ilvl="0" w:tplc="FF0AD1F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7880209"/>
    <w:multiLevelType w:val="hybridMultilevel"/>
    <w:tmpl w:val="4AE46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363463E"/>
    <w:multiLevelType w:val="hybridMultilevel"/>
    <w:tmpl w:val="20BE6714"/>
    <w:lvl w:ilvl="0" w:tplc="EE12D352">
      <w:start w:val="1"/>
      <w:numFmt w:val="decimal"/>
      <w:lvlText w:val="%1)"/>
      <w:lvlJc w:val="left"/>
      <w:pPr>
        <w:ind w:left="720" w:hanging="360"/>
      </w:pPr>
      <w:rPr>
        <w:rFonts w:ascii="Palatino Linotype" w:hAnsi="Palatino Linotype"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6A3F7A"/>
    <w:multiLevelType w:val="hybridMultilevel"/>
    <w:tmpl w:val="49583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B23932"/>
    <w:multiLevelType w:val="hybridMultilevel"/>
    <w:tmpl w:val="FCD06C58"/>
    <w:lvl w:ilvl="0" w:tplc="ED3E2C00">
      <w:start w:val="1"/>
      <w:numFmt w:val="decimal"/>
      <w:lvlText w:val="%1."/>
      <w:lvlJc w:val="left"/>
      <w:pPr>
        <w:ind w:left="1080" w:hanging="360"/>
      </w:pPr>
      <w:rPr>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EBC3A7C"/>
    <w:multiLevelType w:val="hybridMultilevel"/>
    <w:tmpl w:val="33769D40"/>
    <w:lvl w:ilvl="0" w:tplc="081090A8">
      <w:start w:val="1"/>
      <w:numFmt w:val="decimal"/>
      <w:lvlText w:val="%1)"/>
      <w:lvlJc w:val="left"/>
      <w:pPr>
        <w:ind w:left="1104" w:hanging="360"/>
      </w:pPr>
      <w:rPr>
        <w:rFonts w:ascii="Palatino Linotype" w:hAnsi="Palatino Linotype" w:hint="default"/>
      </w:rPr>
    </w:lvl>
    <w:lvl w:ilvl="1" w:tplc="04150019">
      <w:start w:val="1"/>
      <w:numFmt w:val="lowerLetter"/>
      <w:lvlText w:val="%2."/>
      <w:lvlJc w:val="left"/>
      <w:pPr>
        <w:ind w:left="1824" w:hanging="360"/>
      </w:pPr>
    </w:lvl>
    <w:lvl w:ilvl="2" w:tplc="0415001B">
      <w:start w:val="1"/>
      <w:numFmt w:val="lowerRoman"/>
      <w:lvlText w:val="%3."/>
      <w:lvlJc w:val="right"/>
      <w:pPr>
        <w:ind w:left="2544" w:hanging="180"/>
      </w:pPr>
    </w:lvl>
    <w:lvl w:ilvl="3" w:tplc="0415000F">
      <w:start w:val="1"/>
      <w:numFmt w:val="decimal"/>
      <w:lvlText w:val="%4."/>
      <w:lvlJc w:val="left"/>
      <w:pPr>
        <w:ind w:left="3264" w:hanging="360"/>
      </w:pPr>
    </w:lvl>
    <w:lvl w:ilvl="4" w:tplc="04150019">
      <w:start w:val="1"/>
      <w:numFmt w:val="lowerLetter"/>
      <w:lvlText w:val="%5."/>
      <w:lvlJc w:val="left"/>
      <w:pPr>
        <w:ind w:left="3984" w:hanging="360"/>
      </w:pPr>
    </w:lvl>
    <w:lvl w:ilvl="5" w:tplc="0415001B">
      <w:start w:val="1"/>
      <w:numFmt w:val="lowerRoman"/>
      <w:lvlText w:val="%6."/>
      <w:lvlJc w:val="right"/>
      <w:pPr>
        <w:ind w:left="4704" w:hanging="180"/>
      </w:pPr>
    </w:lvl>
    <w:lvl w:ilvl="6" w:tplc="0415000F">
      <w:start w:val="1"/>
      <w:numFmt w:val="decimal"/>
      <w:lvlText w:val="%7."/>
      <w:lvlJc w:val="left"/>
      <w:pPr>
        <w:ind w:left="5424" w:hanging="360"/>
      </w:pPr>
    </w:lvl>
    <w:lvl w:ilvl="7" w:tplc="04150019">
      <w:start w:val="1"/>
      <w:numFmt w:val="lowerLetter"/>
      <w:lvlText w:val="%8."/>
      <w:lvlJc w:val="left"/>
      <w:pPr>
        <w:ind w:left="6144" w:hanging="360"/>
      </w:pPr>
    </w:lvl>
    <w:lvl w:ilvl="8" w:tplc="0415001B">
      <w:start w:val="1"/>
      <w:numFmt w:val="lowerRoman"/>
      <w:lvlText w:val="%9."/>
      <w:lvlJc w:val="right"/>
      <w:pPr>
        <w:ind w:left="6864" w:hanging="180"/>
      </w:pPr>
    </w:lvl>
  </w:abstractNum>
  <w:num w:numId="1" w16cid:durableId="1328047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205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8947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981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042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664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5974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61B9D"/>
    <w:rsid w:val="000751A3"/>
    <w:rsid w:val="00142E70"/>
    <w:rsid w:val="003C1D8C"/>
    <w:rsid w:val="006D25A5"/>
    <w:rsid w:val="006E26B0"/>
    <w:rsid w:val="008013BD"/>
    <w:rsid w:val="00C778FA"/>
    <w:rsid w:val="00CC39F9"/>
    <w:rsid w:val="00D826B4"/>
    <w:rsid w:val="00E20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EC4F"/>
  <w15:chartTrackingRefBased/>
  <w15:docId w15:val="{BE6B0439-A519-4334-81EE-A8B38A2F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E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2E70"/>
    <w:pPr>
      <w:spacing w:before="100" w:beforeAutospacing="1" w:after="100" w:afterAutospacing="1"/>
    </w:pPr>
  </w:style>
  <w:style w:type="paragraph" w:styleId="Bezodstpw">
    <w:name w:val="No Spacing"/>
    <w:uiPriority w:val="1"/>
    <w:qFormat/>
    <w:rsid w:val="00142E7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2E70"/>
    <w:pPr>
      <w:ind w:left="708"/>
    </w:pPr>
  </w:style>
  <w:style w:type="paragraph" w:customStyle="1" w:styleId="text-justify">
    <w:name w:val="text-justify"/>
    <w:basedOn w:val="Normalny"/>
    <w:uiPriority w:val="99"/>
    <w:rsid w:val="00142E70"/>
    <w:pPr>
      <w:spacing w:before="100" w:beforeAutospacing="1" w:after="100" w:afterAutospacing="1"/>
    </w:pPr>
  </w:style>
  <w:style w:type="paragraph" w:customStyle="1" w:styleId="Tekstpodstawowyzwciciem1">
    <w:name w:val="Tekst podstawowy z wcięciem1"/>
    <w:basedOn w:val="Tekstpodstawowy"/>
    <w:uiPriority w:val="99"/>
    <w:rsid w:val="00142E70"/>
    <w:pPr>
      <w:overflowPunct w:val="0"/>
      <w:autoSpaceDE w:val="0"/>
      <w:ind w:firstLine="210"/>
    </w:pPr>
    <w:rPr>
      <w:sz w:val="20"/>
      <w:szCs w:val="20"/>
      <w:lang w:val="x-none" w:eastAsia="ar-SA"/>
    </w:rPr>
  </w:style>
  <w:style w:type="paragraph" w:styleId="Tekstpodstawowy">
    <w:name w:val="Body Text"/>
    <w:basedOn w:val="Normalny"/>
    <w:link w:val="TekstpodstawowyZnak"/>
    <w:uiPriority w:val="99"/>
    <w:semiHidden/>
    <w:unhideWhenUsed/>
    <w:rsid w:val="00142E70"/>
    <w:pPr>
      <w:spacing w:after="120"/>
    </w:pPr>
  </w:style>
  <w:style w:type="character" w:customStyle="1" w:styleId="TekstpodstawowyZnak">
    <w:name w:val="Tekst podstawowy Znak"/>
    <w:basedOn w:val="Domylnaczcionkaakapitu"/>
    <w:link w:val="Tekstpodstawowy"/>
    <w:uiPriority w:val="99"/>
    <w:semiHidden/>
    <w:rsid w:val="00142E70"/>
    <w:rPr>
      <w:rFonts w:ascii="Times New Roman" w:eastAsia="Times New Roman" w:hAnsi="Times New Roman" w:cs="Times New Roman"/>
      <w:sz w:val="24"/>
      <w:szCs w:val="24"/>
      <w:lang w:eastAsia="pl-PL"/>
    </w:rPr>
  </w:style>
  <w:style w:type="paragraph" w:styleId="Nagwek">
    <w:name w:val="header"/>
    <w:aliases w:val="Nagłówek1,Nagłówek Znak Znak Znak1,Nagłówek strony1,Nagłówek strony Znak Znak1,Nagłówek strony Znak1,Nagłówek Znak Znak1,Nagłówek Znak Znak Znak Znak Znak Znak,Nagłówek Znak Znak Znak,Nagłówek strony,Nagłówek strony Znak Znak"/>
    <w:basedOn w:val="Normalny"/>
    <w:link w:val="NagwekZnak"/>
    <w:uiPriority w:val="99"/>
    <w:unhideWhenUsed/>
    <w:rsid w:val="00142E70"/>
    <w:pPr>
      <w:tabs>
        <w:tab w:val="center" w:pos="4536"/>
        <w:tab w:val="right" w:pos="9072"/>
      </w:tabs>
    </w:pPr>
  </w:style>
  <w:style w:type="character" w:customStyle="1" w:styleId="NagwekZnak">
    <w:name w:val="Nagłówek Znak"/>
    <w:aliases w:val="Nagłówek1 Znak,Nagłówek Znak Znak Znak1 Znak,Nagłówek strony1 Znak,Nagłówek strony Znak Znak1 Znak,Nagłówek strony Znak1 Znak,Nagłówek Znak Znak1 Znak,Nagłówek Znak Znak Znak Znak Znak Znak Znak,Nagłówek Znak Znak Znak Znak"/>
    <w:basedOn w:val="Domylnaczcionkaakapitu"/>
    <w:link w:val="Nagwek"/>
    <w:uiPriority w:val="99"/>
    <w:rsid w:val="00142E7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42E70"/>
    <w:pPr>
      <w:tabs>
        <w:tab w:val="center" w:pos="4536"/>
        <w:tab w:val="right" w:pos="9072"/>
      </w:tabs>
    </w:pPr>
  </w:style>
  <w:style w:type="character" w:customStyle="1" w:styleId="StopkaZnak">
    <w:name w:val="Stopka Znak"/>
    <w:basedOn w:val="Domylnaczcionkaakapitu"/>
    <w:link w:val="Stopka"/>
    <w:uiPriority w:val="99"/>
    <w:rsid w:val="00142E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73505-C12B-4AEA-B67A-B04E43ACAB12}"/>
</file>

<file path=customXml/itemProps2.xml><?xml version="1.0" encoding="utf-8"?>
<ds:datastoreItem xmlns:ds="http://schemas.openxmlformats.org/officeDocument/2006/customXml" ds:itemID="{D0414515-812E-445A-933A-7946C4B7DB4C}"/>
</file>

<file path=docProps/app.xml><?xml version="1.0" encoding="utf-8"?>
<Properties xmlns="http://schemas.openxmlformats.org/officeDocument/2006/extended-properties" xmlns:vt="http://schemas.openxmlformats.org/officeDocument/2006/docPropsVTypes">
  <Template>Normal</Template>
  <TotalTime>44</TotalTime>
  <Pages>1</Pages>
  <Words>2616</Words>
  <Characters>15697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9</cp:revision>
  <dcterms:created xsi:type="dcterms:W3CDTF">2023-11-28T10:15:00Z</dcterms:created>
  <dcterms:modified xsi:type="dcterms:W3CDTF">2023-11-28T11:02:00Z</dcterms:modified>
</cp:coreProperties>
</file>