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72884" w14:textId="4B2F126E" w:rsidR="006E42B1" w:rsidRPr="006E42B1" w:rsidRDefault="00A53CEB" w:rsidP="006E42B1">
      <w:pPr>
        <w:shd w:val="clear" w:color="auto" w:fill="FFFFFF"/>
        <w:tabs>
          <w:tab w:val="num" w:pos="720"/>
        </w:tabs>
        <w:spacing w:before="100" w:beforeAutospacing="1" w:after="525" w:line="432" w:lineRule="atLeast"/>
        <w:ind w:hanging="360"/>
        <w:jc w:val="both"/>
        <w:rPr>
          <w:sz w:val="32"/>
          <w:szCs w:val="32"/>
        </w:rPr>
      </w:pPr>
      <w:r>
        <w:rPr>
          <w:sz w:val="32"/>
          <w:szCs w:val="32"/>
        </w:rPr>
        <w:t>Podsumowanie d</w:t>
      </w:r>
      <w:r w:rsidR="006E42B1">
        <w:rPr>
          <w:sz w:val="32"/>
          <w:szCs w:val="32"/>
        </w:rPr>
        <w:t>ziałalnoś</w:t>
      </w:r>
      <w:r>
        <w:rPr>
          <w:sz w:val="32"/>
          <w:szCs w:val="32"/>
        </w:rPr>
        <w:t>ci</w:t>
      </w:r>
      <w:r w:rsidR="006E42B1">
        <w:rPr>
          <w:sz w:val="32"/>
          <w:szCs w:val="32"/>
        </w:rPr>
        <w:t xml:space="preserve"> UOKiK w 2024 r.</w:t>
      </w:r>
    </w:p>
    <w:p w14:paraId="18EDBFD7" w14:textId="0FE50471" w:rsidR="006E42B1" w:rsidRPr="00ED351F" w:rsidRDefault="006E42B1" w:rsidP="00487235">
      <w:pPr>
        <w:numPr>
          <w:ilvl w:val="0"/>
          <w:numId w:val="6"/>
        </w:numPr>
        <w:shd w:val="clear" w:color="auto" w:fill="FFFFFF"/>
        <w:spacing w:after="240" w:line="360" w:lineRule="auto"/>
        <w:ind w:left="0" w:hanging="357"/>
        <w:jc w:val="both"/>
        <w:rPr>
          <w:rFonts w:cs="Arial"/>
          <w:b/>
          <w:color w:val="212529"/>
          <w:sz w:val="22"/>
          <w:lang w:eastAsia="pl-PL"/>
        </w:rPr>
      </w:pPr>
      <w:r w:rsidRPr="00ED351F">
        <w:rPr>
          <w:rFonts w:cs="Arial"/>
          <w:b/>
          <w:color w:val="212529"/>
          <w:sz w:val="22"/>
          <w:lang w:eastAsia="pl-PL"/>
        </w:rPr>
        <w:t>W 202</w:t>
      </w:r>
      <w:r w:rsidR="00126310" w:rsidRPr="00ED351F">
        <w:rPr>
          <w:rFonts w:cs="Arial"/>
          <w:b/>
          <w:color w:val="212529"/>
          <w:sz w:val="22"/>
          <w:lang w:eastAsia="pl-PL"/>
        </w:rPr>
        <w:t>4</w:t>
      </w:r>
      <w:r w:rsidRPr="00ED351F">
        <w:rPr>
          <w:rFonts w:cs="Arial"/>
          <w:b/>
          <w:color w:val="212529"/>
          <w:sz w:val="22"/>
          <w:lang w:eastAsia="pl-PL"/>
        </w:rPr>
        <w:t xml:space="preserve"> r. Prezes UOKiK wydał </w:t>
      </w:r>
      <w:r w:rsidR="001F2D3A">
        <w:rPr>
          <w:rFonts w:cs="Arial"/>
          <w:b/>
          <w:color w:val="212529"/>
          <w:sz w:val="22"/>
          <w:lang w:eastAsia="pl-PL"/>
        </w:rPr>
        <w:t>ponad 7</w:t>
      </w:r>
      <w:r w:rsidR="00E415E7">
        <w:rPr>
          <w:rFonts w:cs="Arial"/>
          <w:b/>
          <w:color w:val="212529"/>
          <w:sz w:val="22"/>
          <w:lang w:eastAsia="pl-PL"/>
        </w:rPr>
        <w:t>5</w:t>
      </w:r>
      <w:r w:rsidR="001F2D3A">
        <w:rPr>
          <w:rFonts w:cs="Arial"/>
          <w:b/>
          <w:color w:val="212529"/>
          <w:sz w:val="22"/>
          <w:lang w:eastAsia="pl-PL"/>
        </w:rPr>
        <w:t>0</w:t>
      </w:r>
      <w:r w:rsidR="001F2D3A" w:rsidRPr="00ED351F">
        <w:rPr>
          <w:rFonts w:cs="Arial"/>
          <w:b/>
          <w:color w:val="212529"/>
          <w:sz w:val="22"/>
          <w:lang w:eastAsia="pl-PL"/>
        </w:rPr>
        <w:t xml:space="preserve"> </w:t>
      </w:r>
      <w:r w:rsidRPr="00ED351F">
        <w:rPr>
          <w:rFonts w:cs="Arial"/>
          <w:b/>
          <w:color w:val="212529"/>
          <w:sz w:val="22"/>
          <w:lang w:eastAsia="pl-PL"/>
        </w:rPr>
        <w:t>decyzji z zakresu ochrony konkurencji i konsumentów</w:t>
      </w:r>
      <w:r w:rsidR="0025433D" w:rsidRPr="00ED351F">
        <w:rPr>
          <w:rFonts w:cs="Arial"/>
          <w:b/>
          <w:color w:val="212529"/>
          <w:sz w:val="22"/>
          <w:lang w:eastAsia="pl-PL"/>
        </w:rPr>
        <w:t>.</w:t>
      </w:r>
    </w:p>
    <w:p w14:paraId="551DF873" w14:textId="37396EA3" w:rsidR="0025433D" w:rsidRPr="00ED351F" w:rsidRDefault="007A4D6B" w:rsidP="00487235">
      <w:pPr>
        <w:numPr>
          <w:ilvl w:val="0"/>
          <w:numId w:val="6"/>
        </w:numPr>
        <w:shd w:val="clear" w:color="auto" w:fill="FFFFFF"/>
        <w:spacing w:after="240" w:line="360" w:lineRule="auto"/>
        <w:ind w:left="0" w:hanging="357"/>
        <w:jc w:val="both"/>
        <w:rPr>
          <w:rFonts w:cs="Arial"/>
          <w:b/>
          <w:webHidden/>
          <w:color w:val="212529"/>
          <w:sz w:val="22"/>
          <w:lang w:eastAsia="pl-PL"/>
        </w:rPr>
      </w:pPr>
      <w:r w:rsidRPr="00ED351F">
        <w:rPr>
          <w:rFonts w:cs="Arial"/>
          <w:b/>
          <w:color w:val="212529"/>
          <w:sz w:val="22"/>
          <w:lang w:eastAsia="pl-PL"/>
        </w:rPr>
        <w:t xml:space="preserve">Nałożył ponad 937 mln zł kar, z czego </w:t>
      </w:r>
      <w:r w:rsidR="0025433D" w:rsidRPr="00ED351F">
        <w:rPr>
          <w:b/>
          <w:sz w:val="22"/>
        </w:rPr>
        <w:t xml:space="preserve">ponad 650 </w:t>
      </w:r>
      <w:r w:rsidR="0025433D" w:rsidRPr="00ED351F">
        <w:rPr>
          <w:b/>
          <w:webHidden/>
          <w:sz w:val="22"/>
        </w:rPr>
        <w:t>mln zł za praktyki ograniczające konkurencję</w:t>
      </w:r>
      <w:r w:rsidR="0025433D" w:rsidRPr="00ED351F">
        <w:rPr>
          <w:rFonts w:cs="Arial"/>
          <w:b/>
          <w:color w:val="212529"/>
          <w:sz w:val="22"/>
          <w:lang w:eastAsia="pl-PL"/>
        </w:rPr>
        <w:t xml:space="preserve"> </w:t>
      </w:r>
      <w:r w:rsidR="0025433D" w:rsidRPr="00ED351F">
        <w:rPr>
          <w:b/>
          <w:sz w:val="22"/>
        </w:rPr>
        <w:t xml:space="preserve">i ponad </w:t>
      </w:r>
      <w:r w:rsidR="00AA799C">
        <w:rPr>
          <w:b/>
          <w:sz w:val="22"/>
        </w:rPr>
        <w:t xml:space="preserve">260 </w:t>
      </w:r>
      <w:r w:rsidR="0025433D" w:rsidRPr="00ED351F">
        <w:rPr>
          <w:b/>
          <w:webHidden/>
          <w:sz w:val="22"/>
        </w:rPr>
        <w:t>mln zł za naruszenia zbiorowych interesów konsumentów</w:t>
      </w:r>
      <w:r w:rsidR="00AA799C">
        <w:rPr>
          <w:b/>
          <w:webHidden/>
          <w:sz w:val="22"/>
        </w:rPr>
        <w:t xml:space="preserve"> oraz z tytułu uznania klauzul za niedozwolone. </w:t>
      </w:r>
    </w:p>
    <w:p w14:paraId="3E71E266" w14:textId="2C41BB02" w:rsidR="006E42B1" w:rsidRPr="00ED351F" w:rsidRDefault="002A41A2" w:rsidP="0025433D">
      <w:pPr>
        <w:numPr>
          <w:ilvl w:val="0"/>
          <w:numId w:val="6"/>
        </w:numPr>
        <w:shd w:val="clear" w:color="auto" w:fill="FFFFFF"/>
        <w:spacing w:after="240" w:line="360" w:lineRule="auto"/>
        <w:ind w:left="0" w:hanging="357"/>
        <w:jc w:val="both"/>
        <w:rPr>
          <w:rFonts w:cs="Arial"/>
          <w:b/>
          <w:color w:val="212529"/>
          <w:sz w:val="22"/>
          <w:lang w:eastAsia="pl-PL"/>
        </w:rPr>
      </w:pPr>
      <w:r>
        <w:rPr>
          <w:rFonts w:cs="Arial"/>
          <w:b/>
          <w:color w:val="212529"/>
          <w:sz w:val="22"/>
          <w:lang w:eastAsia="pl-PL"/>
        </w:rPr>
        <w:t xml:space="preserve">Przygotował również wytyczne istotne dla konsumentów i </w:t>
      </w:r>
      <w:r w:rsidR="00A53CEB">
        <w:rPr>
          <w:rFonts w:cs="Arial"/>
          <w:b/>
          <w:color w:val="212529"/>
          <w:sz w:val="22"/>
          <w:lang w:eastAsia="pl-PL"/>
        </w:rPr>
        <w:t>przedsiębiorców</w:t>
      </w:r>
      <w:r>
        <w:rPr>
          <w:rFonts w:cs="Arial"/>
          <w:b/>
          <w:color w:val="212529"/>
          <w:sz w:val="22"/>
          <w:lang w:eastAsia="pl-PL"/>
        </w:rPr>
        <w:t>.</w:t>
      </w:r>
    </w:p>
    <w:p w14:paraId="6299C3B9" w14:textId="4B806977" w:rsidR="00EB7DD3" w:rsidRPr="0025433D" w:rsidRDefault="0042544B" w:rsidP="00AB3C85">
      <w:pPr>
        <w:pStyle w:val="TekstNB"/>
        <w:numPr>
          <w:ilvl w:val="0"/>
          <w:numId w:val="0"/>
        </w:numPr>
        <w:rPr>
          <w:rFonts w:ascii="Trebuchet MS" w:hAnsi="Trebuchet MS"/>
        </w:rPr>
      </w:pPr>
      <w:r w:rsidRPr="0042544B">
        <w:rPr>
          <w:rFonts w:ascii="Trebuchet MS" w:hAnsi="Trebuchet MS"/>
          <w:b/>
        </w:rPr>
        <w:t xml:space="preserve">[Warszawa, </w:t>
      </w:r>
      <w:r w:rsidR="00A86095">
        <w:rPr>
          <w:rFonts w:ascii="Trebuchet MS" w:hAnsi="Trebuchet MS"/>
          <w:b/>
        </w:rPr>
        <w:t xml:space="preserve">26 </w:t>
      </w:r>
      <w:bookmarkStart w:id="0" w:name="_GoBack"/>
      <w:bookmarkEnd w:id="0"/>
      <w:r w:rsidR="00631BC0">
        <w:rPr>
          <w:rFonts w:ascii="Trebuchet MS" w:hAnsi="Trebuchet MS"/>
          <w:b/>
        </w:rPr>
        <w:t>lutego</w:t>
      </w:r>
      <w:r w:rsidRPr="0042544B">
        <w:rPr>
          <w:rFonts w:ascii="Trebuchet MS" w:hAnsi="Trebuchet MS"/>
          <w:b/>
        </w:rPr>
        <w:t xml:space="preserve"> 2025 r.]</w:t>
      </w:r>
      <w:r>
        <w:rPr>
          <w:rFonts w:ascii="Trebuchet MS" w:hAnsi="Trebuchet MS"/>
        </w:rPr>
        <w:t xml:space="preserve"> </w:t>
      </w:r>
      <w:r w:rsidR="006E42B1" w:rsidRPr="0025433D">
        <w:rPr>
          <w:rFonts w:ascii="Trebuchet MS" w:hAnsi="Trebuchet MS"/>
        </w:rPr>
        <w:t xml:space="preserve">– </w:t>
      </w:r>
      <w:r w:rsidR="00487235">
        <w:rPr>
          <w:rFonts w:ascii="Trebuchet MS" w:hAnsi="Trebuchet MS"/>
        </w:rPr>
        <w:t>Ubiegły rok to</w:t>
      </w:r>
      <w:r w:rsidR="004A578B" w:rsidRPr="0025433D">
        <w:rPr>
          <w:rFonts w:ascii="Trebuchet MS" w:hAnsi="Trebuchet MS"/>
        </w:rPr>
        <w:t xml:space="preserve"> </w:t>
      </w:r>
      <w:r w:rsidR="00487235">
        <w:rPr>
          <w:rFonts w:ascii="Trebuchet MS" w:hAnsi="Trebuchet MS"/>
        </w:rPr>
        <w:t>czas wielu działań</w:t>
      </w:r>
      <w:r w:rsidR="004A578B" w:rsidRPr="0025433D">
        <w:rPr>
          <w:rFonts w:ascii="Trebuchet MS" w:hAnsi="Trebuchet MS"/>
        </w:rPr>
        <w:t xml:space="preserve"> na rzecz ochrony konsumentów i konkurencji w Polsce. Już sa</w:t>
      </w:r>
      <w:r w:rsidR="00A711CC" w:rsidRPr="0025433D">
        <w:rPr>
          <w:rFonts w:ascii="Trebuchet MS" w:hAnsi="Trebuchet MS"/>
        </w:rPr>
        <w:t xml:space="preserve">ma liczba </w:t>
      </w:r>
      <w:r w:rsidR="004A578B" w:rsidRPr="0025433D">
        <w:rPr>
          <w:rFonts w:ascii="Trebuchet MS" w:hAnsi="Trebuchet MS"/>
        </w:rPr>
        <w:t xml:space="preserve">ponad </w:t>
      </w:r>
      <w:r w:rsidR="00AA799C">
        <w:rPr>
          <w:rFonts w:ascii="Trebuchet MS" w:hAnsi="Trebuchet MS"/>
        </w:rPr>
        <w:t>750</w:t>
      </w:r>
      <w:r w:rsidR="004A578B" w:rsidRPr="0025433D">
        <w:rPr>
          <w:rFonts w:ascii="Trebuchet MS" w:hAnsi="Trebuchet MS"/>
        </w:rPr>
        <w:t xml:space="preserve"> </w:t>
      </w:r>
      <w:r w:rsidR="00910F6C" w:rsidRPr="0025433D">
        <w:rPr>
          <w:rFonts w:ascii="Trebuchet MS" w:hAnsi="Trebuchet MS"/>
        </w:rPr>
        <w:t xml:space="preserve">decyzji </w:t>
      </w:r>
      <w:r w:rsidR="004A578B" w:rsidRPr="0025433D">
        <w:rPr>
          <w:rFonts w:ascii="Trebuchet MS" w:hAnsi="Trebuchet MS"/>
        </w:rPr>
        <w:t>świadcz</w:t>
      </w:r>
      <w:r w:rsidR="00A711CC" w:rsidRPr="0025433D">
        <w:rPr>
          <w:rFonts w:ascii="Trebuchet MS" w:hAnsi="Trebuchet MS"/>
        </w:rPr>
        <w:t>y</w:t>
      </w:r>
      <w:r w:rsidR="004A578B" w:rsidRPr="0025433D">
        <w:rPr>
          <w:rFonts w:ascii="Trebuchet MS" w:hAnsi="Trebuchet MS"/>
        </w:rPr>
        <w:t>, jak intensywny był to rok. Jednak warto też pamiętać</w:t>
      </w:r>
      <w:r w:rsidR="00A711CC" w:rsidRPr="0025433D">
        <w:rPr>
          <w:rFonts w:ascii="Trebuchet MS" w:hAnsi="Trebuchet MS"/>
        </w:rPr>
        <w:t xml:space="preserve"> o naszych innych działaniach, których nie obejmują statystyki.</w:t>
      </w:r>
      <w:r w:rsidR="004A578B" w:rsidRPr="0025433D">
        <w:rPr>
          <w:rFonts w:ascii="Trebuchet MS" w:hAnsi="Trebuchet MS"/>
        </w:rPr>
        <w:t xml:space="preserve"> W obszarze ochrony konkurencji chciałbym zwrócić uwagę na poradnik dotyczący zmów na rynku prac</w:t>
      </w:r>
      <w:r w:rsidR="00A711CC" w:rsidRPr="0025433D">
        <w:rPr>
          <w:rFonts w:ascii="Trebuchet MS" w:hAnsi="Trebuchet MS"/>
        </w:rPr>
        <w:t>y.</w:t>
      </w:r>
      <w:r w:rsidR="00910F6C" w:rsidRPr="0025433D">
        <w:rPr>
          <w:rFonts w:ascii="Trebuchet MS" w:hAnsi="Trebuchet MS"/>
        </w:rPr>
        <w:t xml:space="preserve"> </w:t>
      </w:r>
      <w:r w:rsidR="004631D5" w:rsidRPr="0025433D">
        <w:rPr>
          <w:rFonts w:ascii="Trebuchet MS" w:hAnsi="Trebuchet MS"/>
        </w:rPr>
        <w:t xml:space="preserve">Bardzo istotny był również wyrok sądu, który potwierdził słuszność naszego orzecznictwa w sprawach nieuczciwego wykorzystywania przewagi kontraktowej przez sieci handlowe. </w:t>
      </w:r>
      <w:r w:rsidR="00A711CC" w:rsidRPr="0025433D">
        <w:rPr>
          <w:rFonts w:ascii="Trebuchet MS" w:hAnsi="Trebuchet MS"/>
        </w:rPr>
        <w:t xml:space="preserve">W pionie </w:t>
      </w:r>
      <w:r w:rsidR="004631D5" w:rsidRPr="0025433D">
        <w:rPr>
          <w:rFonts w:ascii="Trebuchet MS" w:hAnsi="Trebuchet MS"/>
        </w:rPr>
        <w:t>ochrony</w:t>
      </w:r>
      <w:r w:rsidR="00A711CC" w:rsidRPr="0025433D">
        <w:rPr>
          <w:rFonts w:ascii="Trebuchet MS" w:hAnsi="Trebuchet MS"/>
        </w:rPr>
        <w:t xml:space="preserve"> konsumentów </w:t>
      </w:r>
      <w:r w:rsidR="004631D5" w:rsidRPr="0025433D">
        <w:rPr>
          <w:rFonts w:ascii="Trebuchet MS" w:hAnsi="Trebuchet MS"/>
        </w:rPr>
        <w:t>ważne było wydanie</w:t>
      </w:r>
      <w:r w:rsidR="001774C1" w:rsidRPr="0025433D">
        <w:rPr>
          <w:rFonts w:ascii="Trebuchet MS" w:hAnsi="Trebuchet MS"/>
        </w:rPr>
        <w:t xml:space="preserve"> zbi</w:t>
      </w:r>
      <w:r w:rsidR="004631D5" w:rsidRPr="0025433D">
        <w:rPr>
          <w:rFonts w:ascii="Trebuchet MS" w:hAnsi="Trebuchet MS"/>
        </w:rPr>
        <w:t>o</w:t>
      </w:r>
      <w:r w:rsidR="001774C1" w:rsidRPr="0025433D">
        <w:rPr>
          <w:rFonts w:ascii="Trebuchet MS" w:hAnsi="Trebuchet MS"/>
        </w:rPr>
        <w:t>r</w:t>
      </w:r>
      <w:r w:rsidR="004631D5" w:rsidRPr="0025433D">
        <w:rPr>
          <w:rFonts w:ascii="Trebuchet MS" w:hAnsi="Trebuchet MS"/>
        </w:rPr>
        <w:t>u</w:t>
      </w:r>
      <w:r w:rsidR="001774C1" w:rsidRPr="0025433D">
        <w:rPr>
          <w:rFonts w:ascii="Trebuchet MS" w:hAnsi="Trebuchet MS"/>
        </w:rPr>
        <w:t xml:space="preserve"> zaleceń dla dostawców usług płatniczych</w:t>
      </w:r>
      <w:r w:rsidR="00487235">
        <w:rPr>
          <w:rFonts w:ascii="Trebuchet MS" w:hAnsi="Trebuchet MS"/>
        </w:rPr>
        <w:t xml:space="preserve"> </w:t>
      </w:r>
      <w:r w:rsidR="00A711CC" w:rsidRPr="0025433D">
        <w:rPr>
          <w:rFonts w:ascii="Trebuchet MS" w:hAnsi="Trebuchet MS"/>
        </w:rPr>
        <w:t xml:space="preserve">– </w:t>
      </w:r>
      <w:r w:rsidR="00487235">
        <w:rPr>
          <w:rFonts w:ascii="Trebuchet MS" w:hAnsi="Trebuchet MS"/>
        </w:rPr>
        <w:t>podsumowuje</w:t>
      </w:r>
      <w:r w:rsidR="00A711CC" w:rsidRPr="0025433D">
        <w:rPr>
          <w:rFonts w:ascii="Trebuchet MS" w:hAnsi="Trebuchet MS"/>
        </w:rPr>
        <w:t xml:space="preserve"> Prezes UOKiK Tomasz Chróstny.</w:t>
      </w:r>
    </w:p>
    <w:p w14:paraId="71C9EB2F" w14:textId="77777777" w:rsidR="002B323D" w:rsidRPr="0025433D" w:rsidRDefault="00D535D9" w:rsidP="00F126FA">
      <w:pPr>
        <w:pStyle w:val="Tekstprzypisudolnego"/>
        <w:spacing w:after="240" w:line="360" w:lineRule="auto"/>
        <w:jc w:val="both"/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</w:pPr>
      <w:r w:rsidRPr="00487235">
        <w:rPr>
          <w:rFonts w:ascii="Trebuchet MS" w:hAnsi="Trebuchet MS" w:cstheme="minorHAnsi"/>
          <w:bCs/>
          <w:color w:val="000000" w:themeColor="text1"/>
          <w:sz w:val="22"/>
          <w:szCs w:val="22"/>
          <w:highlight w:val="lightGray"/>
          <w:lang w:eastAsia="pl-PL"/>
        </w:rPr>
        <w:t>OCHRONA KON</w:t>
      </w:r>
      <w:r w:rsidR="002B323D" w:rsidRPr="00487235">
        <w:rPr>
          <w:rFonts w:ascii="Trebuchet MS" w:hAnsi="Trebuchet MS" w:cstheme="minorHAnsi"/>
          <w:bCs/>
          <w:color w:val="000000" w:themeColor="text1"/>
          <w:sz w:val="22"/>
          <w:szCs w:val="22"/>
          <w:highlight w:val="lightGray"/>
          <w:lang w:eastAsia="pl-PL"/>
        </w:rPr>
        <w:t>KURENCJI</w:t>
      </w:r>
    </w:p>
    <w:p w14:paraId="2F5B08A4" w14:textId="77777777" w:rsidR="002B323D" w:rsidRPr="0025433D" w:rsidRDefault="002B323D" w:rsidP="00F126FA">
      <w:pPr>
        <w:pStyle w:val="Tekstprzypisudolnego"/>
        <w:spacing w:after="240" w:line="360" w:lineRule="auto"/>
        <w:jc w:val="both"/>
        <w:rPr>
          <w:rFonts w:ascii="Trebuchet MS" w:hAnsi="Trebuchet MS" w:cstheme="minorHAnsi"/>
          <w:b/>
          <w:bCs/>
          <w:color w:val="000000" w:themeColor="text1"/>
          <w:sz w:val="22"/>
          <w:szCs w:val="22"/>
          <w:lang w:eastAsia="pl-PL"/>
        </w:rPr>
      </w:pPr>
      <w:r w:rsidRPr="0025433D">
        <w:rPr>
          <w:rFonts w:ascii="Trebuchet MS" w:hAnsi="Trebuchet MS" w:cstheme="minorHAnsi"/>
          <w:b/>
          <w:bCs/>
          <w:color w:val="000000" w:themeColor="text1"/>
          <w:sz w:val="22"/>
          <w:szCs w:val="22"/>
          <w:lang w:eastAsia="pl-PL"/>
        </w:rPr>
        <w:t>Praktyki ograniczające konkurencję</w:t>
      </w:r>
    </w:p>
    <w:p w14:paraId="68DB9D53" w14:textId="29D43FEA" w:rsidR="00186E22" w:rsidRPr="0025433D" w:rsidRDefault="00AB3C85" w:rsidP="00F126FA">
      <w:pPr>
        <w:pStyle w:val="Tekstprzypisudolnego"/>
        <w:spacing w:after="240" w:line="360" w:lineRule="auto"/>
        <w:jc w:val="both"/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</w:pPr>
      <w:r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W 2024 r. Prezes UOKiK wszczął </w:t>
      </w:r>
      <w:r w:rsidR="00B14E20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26</w:t>
      </w:r>
      <w:r w:rsidR="00954ABD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 </w:t>
      </w:r>
      <w:r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postępowań dotyczących stosowania praktyk ograniczających konkurencję</w:t>
      </w:r>
      <w:r w:rsidR="00954ABD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, </w:t>
      </w:r>
      <w:r w:rsidR="00FF378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11 z nich </w:t>
      </w:r>
      <w:r w:rsidR="00667FB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było</w:t>
      </w:r>
      <w:r w:rsidR="00FF378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 post</w:t>
      </w:r>
      <w:r w:rsidR="00B31E41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ę</w:t>
      </w:r>
      <w:r w:rsidR="00FF378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powania</w:t>
      </w:r>
      <w:r w:rsidR="00667FB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mi</w:t>
      </w:r>
      <w:r w:rsidR="00FF378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 antymonopolow</w:t>
      </w:r>
      <w:r w:rsidR="00667FB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ymi</w:t>
      </w:r>
      <w:r w:rsidR="00954ABD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 (z czego 7 dotyczyło zmów przetargowych)</w:t>
      </w:r>
      <w:r w:rsidR="00FF378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 natomiast 15 wyjaśniając</w:t>
      </w:r>
      <w:r w:rsidR="00667FB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ymi</w:t>
      </w:r>
      <w:r w:rsidR="00FF378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. Prezes Urzędu wydał 13 decyzji w tym zakresie. 1</w:t>
      </w:r>
      <w:r w:rsidR="007A002C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1</w:t>
      </w:r>
      <w:r w:rsidR="00FF378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 dotyczyło </w:t>
      </w:r>
      <w:r w:rsidR="00F126FA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niedozwolonych </w:t>
      </w:r>
      <w:r w:rsidR="00FF378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porozumień, </w:t>
      </w:r>
      <w:r w:rsidR="007A002C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a dwie </w:t>
      </w:r>
      <w:r w:rsidR="00FF3784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nadużywania pozycji dominującej. </w:t>
      </w:r>
      <w:r w:rsidR="00954ABD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5</w:t>
      </w:r>
      <w:r w:rsidR="00B93261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 z tych</w:t>
      </w:r>
      <w:r w:rsidR="00954ABD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 rozstrzygnięć </w:t>
      </w:r>
      <w:r w:rsidR="00F126FA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>dotyczyło</w:t>
      </w:r>
      <w:r w:rsidR="00954ABD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 ograniczenia konkurencji podczas ubiegania się przedsiębiorców o zamówienia publiczne.</w:t>
      </w:r>
      <w:r w:rsidR="00B93261" w:rsidRPr="0025433D">
        <w:rPr>
          <w:rFonts w:ascii="Trebuchet MS" w:hAnsi="Trebuchet MS" w:cstheme="minorHAnsi"/>
          <w:bCs/>
          <w:color w:val="000000" w:themeColor="text1"/>
          <w:sz w:val="22"/>
          <w:szCs w:val="22"/>
          <w:lang w:eastAsia="pl-PL"/>
        </w:rPr>
        <w:t xml:space="preserve"> Ponadto </w:t>
      </w:r>
      <w:r w:rsidR="00A51827">
        <w:rPr>
          <w:rFonts w:ascii="Trebuchet MS" w:hAnsi="Trebuchet MS" w:cs="Tahoma"/>
          <w:bCs/>
          <w:color w:val="000000" w:themeColor="text1"/>
          <w:sz w:val="22"/>
          <w:szCs w:val="22"/>
          <w:lang w:eastAsia="pl-PL"/>
        </w:rPr>
        <w:t>76</w:t>
      </w:r>
      <w:r w:rsidR="00A51827" w:rsidRPr="0025433D">
        <w:rPr>
          <w:rFonts w:ascii="Trebuchet MS" w:hAnsi="Trebuchet MS" w:cs="Tahoma"/>
          <w:bCs/>
          <w:color w:val="000000" w:themeColor="text1"/>
          <w:sz w:val="22"/>
          <w:szCs w:val="22"/>
          <w:lang w:eastAsia="pl-PL"/>
        </w:rPr>
        <w:t xml:space="preserve"> </w:t>
      </w:r>
      <w:r w:rsidR="00B93261" w:rsidRPr="0025433D">
        <w:rPr>
          <w:rFonts w:ascii="Trebuchet MS" w:hAnsi="Trebuchet MS" w:cs="Tahoma"/>
          <w:bCs/>
          <w:color w:val="000000" w:themeColor="text1"/>
          <w:sz w:val="22"/>
          <w:szCs w:val="22"/>
          <w:lang w:eastAsia="pl-PL"/>
        </w:rPr>
        <w:t>razy przedsiębiorcy otrzymali wezwania do dobrowolnej zmiany praktyk, czyli tzw. wystąpienia miękkie.</w:t>
      </w:r>
    </w:p>
    <w:p w14:paraId="7C147D94" w14:textId="52162C8B" w:rsidR="000021ED" w:rsidRPr="0025433D" w:rsidRDefault="00186E22" w:rsidP="00F126FA">
      <w:pPr>
        <w:spacing w:after="240" w:line="360" w:lineRule="auto"/>
        <w:jc w:val="both"/>
        <w:rPr>
          <w:rFonts w:cs="Arial"/>
          <w:bCs/>
          <w:sz w:val="22"/>
        </w:rPr>
      </w:pPr>
      <w:r w:rsidRPr="0025433D">
        <w:rPr>
          <w:rFonts w:cstheme="minorHAnsi"/>
          <w:bCs/>
          <w:color w:val="000000" w:themeColor="text1"/>
          <w:sz w:val="22"/>
          <w:lang w:eastAsia="pl-PL"/>
        </w:rPr>
        <w:t>Łączna suma kar</w:t>
      </w:r>
      <w:r w:rsidR="00E415E7">
        <w:rPr>
          <w:rFonts w:cstheme="minorHAnsi"/>
          <w:bCs/>
          <w:color w:val="000000" w:themeColor="text1"/>
          <w:sz w:val="22"/>
          <w:lang w:eastAsia="pl-PL"/>
        </w:rPr>
        <w:t xml:space="preserve"> nałożonych na przedsiębiorców</w:t>
      </w:r>
      <w:r w:rsidRPr="0025433D">
        <w:rPr>
          <w:rFonts w:cstheme="minorHAnsi"/>
          <w:bCs/>
          <w:color w:val="000000" w:themeColor="text1"/>
          <w:sz w:val="22"/>
          <w:lang w:eastAsia="pl-PL"/>
        </w:rPr>
        <w:t xml:space="preserve"> </w:t>
      </w:r>
      <w:r w:rsidR="00A53CEB">
        <w:rPr>
          <w:rFonts w:cstheme="minorHAnsi"/>
          <w:bCs/>
          <w:color w:val="000000" w:themeColor="text1"/>
          <w:sz w:val="22"/>
          <w:lang w:eastAsia="pl-PL"/>
        </w:rPr>
        <w:t xml:space="preserve">z tytułu praktyk ograniczających konkurencję </w:t>
      </w:r>
      <w:r w:rsidRPr="0025433D">
        <w:rPr>
          <w:rFonts w:cstheme="minorHAnsi"/>
          <w:bCs/>
          <w:color w:val="000000" w:themeColor="text1"/>
          <w:sz w:val="22"/>
          <w:lang w:eastAsia="pl-PL"/>
        </w:rPr>
        <w:t xml:space="preserve">wyniosła </w:t>
      </w:r>
      <w:r w:rsidR="00B31E41" w:rsidRPr="0025433D">
        <w:rPr>
          <w:rFonts w:cstheme="minorHAnsi"/>
          <w:bCs/>
          <w:color w:val="000000" w:themeColor="text1"/>
          <w:sz w:val="22"/>
          <w:lang w:eastAsia="pl-PL"/>
        </w:rPr>
        <w:t xml:space="preserve">ponad </w:t>
      </w:r>
      <w:r w:rsidR="00954ABD" w:rsidRPr="0025433D">
        <w:rPr>
          <w:rFonts w:cstheme="minorHAnsi"/>
          <w:bCs/>
          <w:color w:val="000000" w:themeColor="text1"/>
          <w:sz w:val="22"/>
          <w:lang w:eastAsia="pl-PL"/>
        </w:rPr>
        <w:t>650 mln zł</w:t>
      </w:r>
      <w:r w:rsidR="004154CE">
        <w:rPr>
          <w:rFonts w:cstheme="minorHAnsi"/>
          <w:bCs/>
          <w:color w:val="000000" w:themeColor="text1"/>
          <w:sz w:val="22"/>
          <w:lang w:eastAsia="pl-PL"/>
        </w:rPr>
        <w:t>, a na osoby zarządzające ponad 4 mln zł</w:t>
      </w:r>
      <w:r w:rsidR="00954ABD" w:rsidRPr="0025433D">
        <w:rPr>
          <w:rFonts w:cstheme="minorHAnsi"/>
          <w:bCs/>
          <w:color w:val="000000" w:themeColor="text1"/>
          <w:sz w:val="22"/>
          <w:lang w:eastAsia="pl-PL"/>
        </w:rPr>
        <w:t xml:space="preserve">. </w:t>
      </w:r>
      <w:r w:rsidR="00AB3C85" w:rsidRPr="0025433D">
        <w:rPr>
          <w:rFonts w:cs="Tahoma"/>
          <w:bCs/>
          <w:color w:val="000000" w:themeColor="text1"/>
          <w:sz w:val="22"/>
          <w:lang w:eastAsia="en-GB"/>
        </w:rPr>
        <w:t xml:space="preserve">Najwyższe </w:t>
      </w:r>
      <w:r w:rsidR="00F126FA" w:rsidRPr="0025433D">
        <w:rPr>
          <w:rFonts w:cs="Tahoma"/>
          <w:bCs/>
          <w:color w:val="000000" w:themeColor="text1"/>
          <w:sz w:val="22"/>
          <w:lang w:eastAsia="en-GB"/>
        </w:rPr>
        <w:t>sankcje pieniężne</w:t>
      </w:r>
      <w:r w:rsidR="00AB3C85" w:rsidRPr="0025433D">
        <w:rPr>
          <w:rFonts w:cs="Tahoma"/>
          <w:bCs/>
          <w:color w:val="000000" w:themeColor="text1"/>
          <w:sz w:val="22"/>
          <w:lang w:eastAsia="en-GB"/>
        </w:rPr>
        <w:t xml:space="preserve"> nałożone w </w:t>
      </w:r>
      <w:hyperlink r:id="rId9" w:history="1">
        <w:r w:rsidR="00AB3C85" w:rsidRPr="0025433D">
          <w:rPr>
            <w:rStyle w:val="Hipercze"/>
            <w:rFonts w:cs="Tahoma"/>
            <w:bCs/>
            <w:sz w:val="22"/>
            <w:lang w:eastAsia="en-GB"/>
          </w:rPr>
          <w:t>jednej decyzji</w:t>
        </w:r>
      </w:hyperlink>
      <w:r w:rsidR="00AB3C85" w:rsidRPr="0025433D">
        <w:rPr>
          <w:rFonts w:cs="Tahoma"/>
          <w:bCs/>
          <w:color w:val="000000" w:themeColor="text1"/>
          <w:sz w:val="22"/>
          <w:lang w:eastAsia="en-GB"/>
        </w:rPr>
        <w:t xml:space="preserve"> na spółki i osoby zarządzające wyniosły </w:t>
      </w:r>
      <w:r w:rsidR="00AA799C">
        <w:rPr>
          <w:rFonts w:cs="Tahoma"/>
          <w:bCs/>
          <w:color w:val="000000" w:themeColor="text1"/>
          <w:sz w:val="22"/>
          <w:lang w:eastAsia="en-GB"/>
        </w:rPr>
        <w:t xml:space="preserve">prawie </w:t>
      </w:r>
      <w:r w:rsidR="00AA799C">
        <w:rPr>
          <w:rFonts w:cs="Tahoma"/>
          <w:bCs/>
          <w:color w:val="000000" w:themeColor="text1"/>
          <w:sz w:val="22"/>
          <w:lang w:eastAsia="en-GB"/>
        </w:rPr>
        <w:lastRenderedPageBreak/>
        <w:t>408</w:t>
      </w:r>
      <w:r w:rsidR="00DB34F6" w:rsidRPr="0025433D">
        <w:rPr>
          <w:rFonts w:cs="Tahoma"/>
          <w:bCs/>
          <w:color w:val="000000" w:themeColor="text1"/>
          <w:sz w:val="22"/>
          <w:lang w:eastAsia="en-GB"/>
        </w:rPr>
        <w:t xml:space="preserve"> </w:t>
      </w:r>
      <w:r w:rsidR="00AB3C85" w:rsidRPr="0025433D">
        <w:rPr>
          <w:rFonts w:cs="Tahoma"/>
          <w:bCs/>
          <w:color w:val="000000" w:themeColor="text1"/>
          <w:sz w:val="22"/>
          <w:lang w:eastAsia="en-GB"/>
        </w:rPr>
        <w:t xml:space="preserve">mln zł. Dotyczyły </w:t>
      </w:r>
      <w:r w:rsidR="000021ED" w:rsidRPr="0025433D">
        <w:rPr>
          <w:rFonts w:cs="Tahoma"/>
          <w:bCs/>
          <w:color w:val="000000" w:themeColor="text1"/>
          <w:sz w:val="22"/>
          <w:lang w:eastAsia="en-GB"/>
        </w:rPr>
        <w:t>zmowy cenowej i podziału rynku pomiędzy spółką KIA Polska oraz dilerami jej samochodów</w:t>
      </w:r>
      <w:r w:rsidR="000021ED" w:rsidRPr="0025433D">
        <w:rPr>
          <w:rFonts w:cs="Arial"/>
          <w:bCs/>
          <w:sz w:val="22"/>
        </w:rPr>
        <w:t xml:space="preserve">. Zgodnie z założeniami porozumienia nabywcy samochodów marki KIA przez co najmniej osiem lat, od 2013 </w:t>
      </w:r>
      <w:r w:rsidR="00667FB4" w:rsidRPr="0025433D">
        <w:rPr>
          <w:rFonts w:cs="Arial"/>
          <w:bCs/>
          <w:sz w:val="22"/>
        </w:rPr>
        <w:t xml:space="preserve">r. </w:t>
      </w:r>
      <w:r w:rsidR="000021ED" w:rsidRPr="0025433D">
        <w:rPr>
          <w:rFonts w:cs="Arial"/>
          <w:bCs/>
          <w:sz w:val="22"/>
        </w:rPr>
        <w:t>do 2021 r., mogli kupić pojazd jedynie od odgórnie wyznaczonego sprzedawcy, bez możliwości otrzymania tańszej oferty od innego d</w:t>
      </w:r>
      <w:r w:rsidR="00363682" w:rsidRPr="0025433D">
        <w:rPr>
          <w:rFonts w:cs="Arial"/>
          <w:bCs/>
          <w:sz w:val="22"/>
        </w:rPr>
        <w:t>i</w:t>
      </w:r>
      <w:r w:rsidR="000021ED" w:rsidRPr="0025433D">
        <w:rPr>
          <w:rFonts w:cs="Arial"/>
          <w:bCs/>
          <w:sz w:val="22"/>
        </w:rPr>
        <w:t xml:space="preserve">lera. </w:t>
      </w:r>
      <w:r w:rsidR="007C5E2A" w:rsidRPr="0025433D">
        <w:rPr>
          <w:rFonts w:cs="Arial"/>
          <w:bCs/>
          <w:sz w:val="22"/>
        </w:rPr>
        <w:t>Kary zostały nałożone na 12 przedsiębiorców i 5 osób fizycznych.</w:t>
      </w:r>
    </w:p>
    <w:p w14:paraId="669CFF3A" w14:textId="37B7A611" w:rsidR="000021ED" w:rsidRPr="0025433D" w:rsidRDefault="000021ED" w:rsidP="00F126FA">
      <w:pPr>
        <w:spacing w:after="240" w:line="360" w:lineRule="auto"/>
        <w:jc w:val="both"/>
        <w:rPr>
          <w:rFonts w:cs="Arial"/>
          <w:bCs/>
          <w:sz w:val="22"/>
        </w:rPr>
      </w:pPr>
      <w:r w:rsidRPr="0025433D">
        <w:rPr>
          <w:rFonts w:cs="Arial"/>
          <w:bCs/>
          <w:sz w:val="22"/>
        </w:rPr>
        <w:t>Nie była to jedyna decyzja Prezesa UOKiK dotycząca rynku motoryzacyjnego.</w:t>
      </w:r>
      <w:r w:rsidR="00501725" w:rsidRPr="0025433D">
        <w:rPr>
          <w:rFonts w:cs="Arial"/>
          <w:bCs/>
          <w:sz w:val="22"/>
        </w:rPr>
        <w:t xml:space="preserve"> </w:t>
      </w:r>
      <w:hyperlink r:id="rId10" w:history="1">
        <w:r w:rsidRPr="0025433D">
          <w:rPr>
            <w:rStyle w:val="Hipercze"/>
            <w:rFonts w:cs="Arial"/>
            <w:bCs/>
            <w:sz w:val="22"/>
          </w:rPr>
          <w:t>Kolejna</w:t>
        </w:r>
      </w:hyperlink>
      <w:r w:rsidRPr="0025433D">
        <w:rPr>
          <w:rFonts w:cs="Arial"/>
          <w:bCs/>
          <w:sz w:val="22"/>
        </w:rPr>
        <w:t xml:space="preserve"> dotyczyła </w:t>
      </w:r>
      <w:r w:rsidR="007C5E2A" w:rsidRPr="0025433D">
        <w:rPr>
          <w:rFonts w:cs="Arial"/>
          <w:bCs/>
          <w:sz w:val="22"/>
        </w:rPr>
        <w:t>z</w:t>
      </w:r>
      <w:r w:rsidRPr="0025433D">
        <w:rPr>
          <w:rFonts w:cs="Arial"/>
          <w:bCs/>
          <w:sz w:val="22"/>
        </w:rPr>
        <w:t>mowy pomiędzy importerem samochodów ciężarowych Iveco Poland i dystrybutorami tych pojazdów</w:t>
      </w:r>
      <w:r w:rsidR="00501725" w:rsidRPr="0025433D">
        <w:rPr>
          <w:rFonts w:cs="Arial"/>
          <w:bCs/>
          <w:sz w:val="22"/>
        </w:rPr>
        <w:t>.</w:t>
      </w:r>
      <w:r w:rsidRPr="0025433D">
        <w:rPr>
          <w:rFonts w:cs="Arial"/>
          <w:bCs/>
          <w:sz w:val="22"/>
        </w:rPr>
        <w:t xml:space="preserve"> Porozumienie polegało na tym, że </w:t>
      </w:r>
      <w:r w:rsidR="007C5E2A" w:rsidRPr="0025433D">
        <w:rPr>
          <w:rFonts w:cs="Arial"/>
          <w:bCs/>
          <w:sz w:val="22"/>
        </w:rPr>
        <w:t>przedsiębiorcy</w:t>
      </w:r>
      <w:r w:rsidRPr="0025433D">
        <w:rPr>
          <w:rFonts w:cs="Arial"/>
          <w:bCs/>
          <w:sz w:val="22"/>
        </w:rPr>
        <w:t xml:space="preserve"> ustalili obszary, na których pierwszeństwo obsługi klienta miał lokalny dystrybutor</w:t>
      </w:r>
      <w:r w:rsidR="00C31F43" w:rsidRPr="0025433D">
        <w:rPr>
          <w:rFonts w:cs="Arial"/>
          <w:bCs/>
          <w:sz w:val="22"/>
        </w:rPr>
        <w:t>.</w:t>
      </w:r>
      <w:r w:rsidRPr="0025433D">
        <w:rPr>
          <w:rFonts w:cs="Arial"/>
          <w:bCs/>
          <w:sz w:val="22"/>
        </w:rPr>
        <w:t xml:space="preserve"> Podział rynku wspierany był przez ustalenia dotyczące cen. Kary finansowe nałożone na </w:t>
      </w:r>
      <w:r w:rsidR="00501725" w:rsidRPr="0025433D">
        <w:rPr>
          <w:rFonts w:cs="Arial"/>
          <w:bCs/>
          <w:sz w:val="22"/>
        </w:rPr>
        <w:t>11 przedsiębiorców</w:t>
      </w:r>
      <w:r w:rsidRPr="0025433D">
        <w:rPr>
          <w:rFonts w:cs="Arial"/>
          <w:bCs/>
          <w:sz w:val="22"/>
        </w:rPr>
        <w:t xml:space="preserve"> i </w:t>
      </w:r>
      <w:r w:rsidR="00501725" w:rsidRPr="0025433D">
        <w:rPr>
          <w:rFonts w:cs="Arial"/>
          <w:bCs/>
          <w:sz w:val="22"/>
        </w:rPr>
        <w:t xml:space="preserve">10 </w:t>
      </w:r>
      <w:r w:rsidRPr="0025433D">
        <w:rPr>
          <w:rFonts w:cs="Arial"/>
          <w:bCs/>
          <w:sz w:val="22"/>
        </w:rPr>
        <w:t>os</w:t>
      </w:r>
      <w:r w:rsidR="00501725" w:rsidRPr="0025433D">
        <w:rPr>
          <w:rFonts w:cs="Arial"/>
          <w:bCs/>
          <w:sz w:val="22"/>
        </w:rPr>
        <w:t>ób</w:t>
      </w:r>
      <w:r w:rsidRPr="0025433D">
        <w:rPr>
          <w:rFonts w:cs="Arial"/>
          <w:bCs/>
          <w:sz w:val="22"/>
        </w:rPr>
        <w:t xml:space="preserve"> zarządzają</w:t>
      </w:r>
      <w:r w:rsidR="00501725" w:rsidRPr="0025433D">
        <w:rPr>
          <w:rFonts w:cs="Arial"/>
          <w:bCs/>
          <w:sz w:val="22"/>
        </w:rPr>
        <w:t>cych</w:t>
      </w:r>
      <w:r w:rsidRPr="0025433D">
        <w:rPr>
          <w:rFonts w:cs="Arial"/>
          <w:bCs/>
          <w:sz w:val="22"/>
        </w:rPr>
        <w:t xml:space="preserve"> wyniosły ponad </w:t>
      </w:r>
      <w:r w:rsidR="002D3D0A" w:rsidRPr="0025433D">
        <w:rPr>
          <w:rFonts w:cs="Arial"/>
          <w:bCs/>
          <w:sz w:val="22"/>
        </w:rPr>
        <w:t>24</w:t>
      </w:r>
      <w:r w:rsidR="002D3D0A">
        <w:rPr>
          <w:rFonts w:cs="Arial"/>
          <w:bCs/>
          <w:sz w:val="22"/>
        </w:rPr>
        <w:t>1</w:t>
      </w:r>
      <w:r w:rsidR="002D3D0A" w:rsidRPr="0025433D">
        <w:rPr>
          <w:rFonts w:cs="Arial"/>
          <w:bCs/>
          <w:sz w:val="22"/>
        </w:rPr>
        <w:t xml:space="preserve"> </w:t>
      </w:r>
      <w:r w:rsidRPr="0025433D">
        <w:rPr>
          <w:rFonts w:cs="Arial"/>
          <w:bCs/>
          <w:sz w:val="22"/>
        </w:rPr>
        <w:t>mln zł.</w:t>
      </w:r>
    </w:p>
    <w:p w14:paraId="22AD8161" w14:textId="257C4A1C" w:rsidR="00520AA9" w:rsidRPr="0025433D" w:rsidRDefault="000021ED" w:rsidP="00F126FA">
      <w:pPr>
        <w:spacing w:after="240" w:line="360" w:lineRule="auto"/>
        <w:jc w:val="both"/>
        <w:rPr>
          <w:rFonts w:cs="Arial"/>
          <w:sz w:val="22"/>
        </w:rPr>
      </w:pPr>
      <w:r w:rsidRPr="0025433D">
        <w:rPr>
          <w:rFonts w:cs="Arial"/>
          <w:bCs/>
          <w:sz w:val="22"/>
        </w:rPr>
        <w:t xml:space="preserve">Prezes UOKiK </w:t>
      </w:r>
      <w:r w:rsidR="00520AA9" w:rsidRPr="0025433D">
        <w:rPr>
          <w:rFonts w:cs="Arial"/>
          <w:bCs/>
          <w:sz w:val="22"/>
        </w:rPr>
        <w:t>monitoruje</w:t>
      </w:r>
      <w:r w:rsidRPr="0025433D">
        <w:rPr>
          <w:rFonts w:cs="Arial"/>
          <w:bCs/>
          <w:sz w:val="22"/>
        </w:rPr>
        <w:t xml:space="preserve"> również stan konkurencji na </w:t>
      </w:r>
      <w:r w:rsidR="00520AA9" w:rsidRPr="0025433D">
        <w:rPr>
          <w:rFonts w:cs="Arial"/>
          <w:bCs/>
          <w:sz w:val="22"/>
        </w:rPr>
        <w:t xml:space="preserve">rynkach cyfrowych. </w:t>
      </w:r>
      <w:r w:rsidR="00520AA9" w:rsidRPr="0025433D">
        <w:rPr>
          <w:rFonts w:cs="Arial"/>
          <w:sz w:val="22"/>
        </w:rPr>
        <w:t xml:space="preserve">Wszczął </w:t>
      </w:r>
      <w:hyperlink r:id="rId11" w:history="1">
        <w:r w:rsidR="00520AA9" w:rsidRPr="0025433D">
          <w:rPr>
            <w:rStyle w:val="Hipercze"/>
            <w:rFonts w:cs="Arial"/>
            <w:sz w:val="22"/>
          </w:rPr>
          <w:t>postępowanie wyjaśniające</w:t>
        </w:r>
      </w:hyperlink>
      <w:r w:rsidR="00520AA9" w:rsidRPr="0025433D">
        <w:rPr>
          <w:rFonts w:cs="Arial"/>
          <w:sz w:val="22"/>
        </w:rPr>
        <w:t xml:space="preserve"> po zmianach wprowadzonych w serwisie Facebook przez spółkę Meta Platforms Ireland. Treści polskich wydawców na platformie wyświetlane są w postaci pojedynczego odnośnika, a nie jak to było dotychczas, jako graficzny podgląd materiału. Zmiana mogła spowodować niższe zainteresowanie treściami dziennikarskimi oraz zmniejszyć liczbę odsłon artykułów. W postępowaniu wyjaśniającym UOKiK sprawdz</w:t>
      </w:r>
      <w:r w:rsidR="00A53CEB">
        <w:rPr>
          <w:rFonts w:cs="Arial"/>
          <w:sz w:val="22"/>
        </w:rPr>
        <w:t>a</w:t>
      </w:r>
      <w:r w:rsidR="00520AA9" w:rsidRPr="0025433D">
        <w:rPr>
          <w:rFonts w:cs="Arial"/>
          <w:sz w:val="22"/>
        </w:rPr>
        <w:t xml:space="preserve"> praktyki właścicieli mediów społecznościowych, w szczególności</w:t>
      </w:r>
      <w:r w:rsidR="00A53CEB">
        <w:rPr>
          <w:rFonts w:cs="Arial"/>
          <w:sz w:val="22"/>
        </w:rPr>
        <w:t xml:space="preserve"> to</w:t>
      </w:r>
      <w:r w:rsidR="00520AA9" w:rsidRPr="0025433D">
        <w:rPr>
          <w:rFonts w:cs="Arial"/>
          <w:sz w:val="22"/>
        </w:rPr>
        <w:t xml:space="preserve"> czy Meta mogła nadużyć swojej pozycji rynkowej. </w:t>
      </w:r>
    </w:p>
    <w:p w14:paraId="19E0DCB5" w14:textId="4B279850" w:rsidR="00AB3C85" w:rsidRPr="0025433D" w:rsidRDefault="00501725" w:rsidP="00F126FA">
      <w:pPr>
        <w:spacing w:after="240" w:line="360" w:lineRule="auto"/>
        <w:jc w:val="both"/>
        <w:rPr>
          <w:sz w:val="22"/>
        </w:rPr>
      </w:pPr>
      <w:r w:rsidRPr="0025433D">
        <w:rPr>
          <w:rFonts w:cs="Tahoma"/>
          <w:bCs/>
          <w:color w:val="000000" w:themeColor="text1"/>
          <w:sz w:val="22"/>
          <w:lang w:eastAsia="en-GB"/>
        </w:rPr>
        <w:t>N</w:t>
      </w:r>
      <w:r w:rsidR="00AB3C85" w:rsidRPr="0025433D">
        <w:rPr>
          <w:rFonts w:cs="Tahoma"/>
          <w:bCs/>
          <w:color w:val="000000" w:themeColor="text1"/>
          <w:sz w:val="22"/>
          <w:lang w:eastAsia="en-GB"/>
        </w:rPr>
        <w:t>a uwagę zasługuje</w:t>
      </w:r>
      <w:r w:rsidRPr="0025433D">
        <w:rPr>
          <w:rFonts w:cs="Tahoma"/>
          <w:bCs/>
          <w:color w:val="000000" w:themeColor="text1"/>
          <w:sz w:val="22"/>
          <w:lang w:eastAsia="en-GB"/>
        </w:rPr>
        <w:t xml:space="preserve"> również</w:t>
      </w:r>
      <w:r w:rsidR="00AB3C85" w:rsidRPr="0025433D">
        <w:rPr>
          <w:rFonts w:cs="Tahoma"/>
          <w:bCs/>
          <w:color w:val="000000" w:themeColor="text1"/>
          <w:sz w:val="22"/>
          <w:lang w:eastAsia="en-GB"/>
        </w:rPr>
        <w:t xml:space="preserve"> publikacja poradnika dotyczącego </w:t>
      </w:r>
      <w:hyperlink r:id="rId12" w:history="1">
        <w:r w:rsidR="00AB3C85" w:rsidRPr="0025433D">
          <w:rPr>
            <w:rStyle w:val="Hipercze"/>
            <w:rFonts w:cs="Tahoma"/>
            <w:bCs/>
            <w:sz w:val="22"/>
            <w:lang w:eastAsia="en-GB"/>
          </w:rPr>
          <w:t>zmów na rynku pracy</w:t>
        </w:r>
      </w:hyperlink>
      <w:r w:rsidR="00AB3C85" w:rsidRPr="0025433D">
        <w:rPr>
          <w:rFonts w:cs="Tahoma"/>
          <w:bCs/>
          <w:color w:val="000000" w:themeColor="text1"/>
          <w:sz w:val="22"/>
          <w:lang w:eastAsia="en-GB"/>
        </w:rPr>
        <w:t xml:space="preserve">. Było to szczególnie istotne ze względu na brak powszechnej wiedzy, że niektóre praktyki pracodawców mogą być uznane za ograniczające konkurencję. Prezes UOKiK na konkretnych przykładach wskazał te działania, np. </w:t>
      </w:r>
      <w:r w:rsidR="00AB3C85" w:rsidRPr="0025433D">
        <w:rPr>
          <w:sz w:val="22"/>
        </w:rPr>
        <w:t xml:space="preserve">wspólne </w:t>
      </w:r>
      <w:r w:rsidR="00C31F43" w:rsidRPr="0025433D">
        <w:rPr>
          <w:sz w:val="22"/>
        </w:rPr>
        <w:t>uzgadnianie</w:t>
      </w:r>
      <w:r w:rsidR="00AB3C85" w:rsidRPr="0025433D">
        <w:rPr>
          <w:sz w:val="22"/>
        </w:rPr>
        <w:t xml:space="preserve"> wysokości płac dla pracowników lub brak podwyżek, czy też ustalenia o niekonkurowaniu o pracownika</w:t>
      </w:r>
      <w:r w:rsidR="008C1D64" w:rsidRPr="0025433D">
        <w:rPr>
          <w:sz w:val="22"/>
        </w:rPr>
        <w:t xml:space="preserve">. </w:t>
      </w:r>
      <w:r w:rsidR="00AB3C85" w:rsidRPr="0025433D">
        <w:rPr>
          <w:sz w:val="22"/>
        </w:rPr>
        <w:t xml:space="preserve">W 2024 r. zostały również wszczęte </w:t>
      </w:r>
      <w:hyperlink r:id="rId13" w:history="1">
        <w:r w:rsidR="00AB3C85" w:rsidRPr="0025433D">
          <w:rPr>
            <w:rStyle w:val="Hipercze"/>
            <w:sz w:val="22"/>
          </w:rPr>
          <w:t>postępowania wyjaśniające</w:t>
        </w:r>
      </w:hyperlink>
      <w:r w:rsidR="00AB3C85" w:rsidRPr="0025433D">
        <w:rPr>
          <w:sz w:val="22"/>
        </w:rPr>
        <w:t xml:space="preserve"> dotyczące rynku pracy. Sprawdzane są praktyki właścicieli sieci Biedronka i Dino, którzy razem z firmami transportowymi mogli umówić się, że nie będą </w:t>
      </w:r>
      <w:r w:rsidR="00A53CEB">
        <w:rPr>
          <w:sz w:val="22"/>
        </w:rPr>
        <w:t>konkurować o swoich pracowników -</w:t>
      </w:r>
      <w:r w:rsidR="00AB3C85" w:rsidRPr="0025433D">
        <w:rPr>
          <w:sz w:val="22"/>
        </w:rPr>
        <w:t xml:space="preserve"> kierowców</w:t>
      </w:r>
      <w:r w:rsidRPr="0025433D">
        <w:rPr>
          <w:sz w:val="22"/>
        </w:rPr>
        <w:t>.</w:t>
      </w:r>
    </w:p>
    <w:p w14:paraId="627FDBB3" w14:textId="77777777" w:rsidR="00AB3C85" w:rsidRPr="0025433D" w:rsidRDefault="00AB3C85" w:rsidP="00F126FA">
      <w:pPr>
        <w:spacing w:after="240" w:line="360" w:lineRule="auto"/>
        <w:jc w:val="both"/>
        <w:rPr>
          <w:b/>
          <w:sz w:val="22"/>
        </w:rPr>
      </w:pPr>
      <w:r w:rsidRPr="0025433D">
        <w:rPr>
          <w:b/>
          <w:sz w:val="22"/>
        </w:rPr>
        <w:t>Przewaga kontraktowa</w:t>
      </w:r>
    </w:p>
    <w:p w14:paraId="5E1C5AF6" w14:textId="6E9540E9" w:rsidR="00AB3C85" w:rsidRPr="0025433D" w:rsidRDefault="00AB3C85" w:rsidP="00F126FA">
      <w:pPr>
        <w:spacing w:after="240" w:line="360" w:lineRule="auto"/>
        <w:jc w:val="both"/>
        <w:rPr>
          <w:sz w:val="22"/>
        </w:rPr>
      </w:pPr>
      <w:r w:rsidRPr="0025433D">
        <w:rPr>
          <w:sz w:val="22"/>
        </w:rPr>
        <w:t xml:space="preserve">W obszarze przewagi kontraktowej na szczególną uwagę zasługuje wyrok sądu, który potwierdza linię orzeczniczą Prezesa UOKiK w zakresie kontaktów dużych sieci handlowych z dostawcami produktów rolno-spożywczych. Chodzi o rozstrzygnięcie Sądu Ochrony </w:t>
      </w:r>
      <w:r w:rsidRPr="0025433D">
        <w:rPr>
          <w:sz w:val="22"/>
        </w:rPr>
        <w:lastRenderedPageBreak/>
        <w:t xml:space="preserve">Konkurencji i Konsumentów, </w:t>
      </w:r>
      <w:r w:rsidR="008C1D64" w:rsidRPr="0025433D">
        <w:rPr>
          <w:sz w:val="22"/>
        </w:rPr>
        <w:t>który</w:t>
      </w:r>
      <w:r w:rsidRPr="0025433D">
        <w:rPr>
          <w:sz w:val="22"/>
        </w:rPr>
        <w:t xml:space="preserve"> potwierdził </w:t>
      </w:r>
      <w:hyperlink r:id="rId14" w:history="1">
        <w:r w:rsidRPr="0025433D">
          <w:rPr>
            <w:rStyle w:val="Hipercze"/>
            <w:rFonts w:cs="Segoe UI"/>
            <w:sz w:val="22"/>
            <w:shd w:val="clear" w:color="auto" w:fill="FFFFFF"/>
          </w:rPr>
          <w:t>decyzję</w:t>
        </w:r>
      </w:hyperlink>
      <w:r w:rsidRPr="0025433D">
        <w:rPr>
          <w:rFonts w:cs="Segoe UI"/>
          <w:color w:val="0F1419"/>
          <w:sz w:val="22"/>
          <w:shd w:val="clear" w:color="auto" w:fill="FFFFFF"/>
        </w:rPr>
        <w:t xml:space="preserve"> z 2020 r.</w:t>
      </w:r>
      <w:r w:rsidRPr="0025433D">
        <w:rPr>
          <w:sz w:val="22"/>
        </w:rPr>
        <w:t xml:space="preserve"> </w:t>
      </w:r>
      <w:r w:rsidR="008C1D64" w:rsidRPr="0025433D">
        <w:rPr>
          <w:sz w:val="22"/>
        </w:rPr>
        <w:t xml:space="preserve">Sąd zgodził się z ustaleniami </w:t>
      </w:r>
      <w:r w:rsidRPr="0025433D">
        <w:rPr>
          <w:sz w:val="22"/>
        </w:rPr>
        <w:t xml:space="preserve">Prezesa UOKiK, że </w:t>
      </w:r>
      <w:r w:rsidRPr="0025433D">
        <w:rPr>
          <w:rFonts w:cs="Segoe UI"/>
          <w:color w:val="0F1419"/>
          <w:sz w:val="22"/>
          <w:shd w:val="clear" w:color="auto" w:fill="FFFFFF"/>
        </w:rPr>
        <w:t>spółka Jeronimo Martins Polska nie miała prawa uzyskiwać od dostawców produktów spożywczych nieumówionych wcześniej rabatów.</w:t>
      </w:r>
      <w:r w:rsidR="008C1D64" w:rsidRPr="0025433D">
        <w:rPr>
          <w:rFonts w:cs="Segoe UI"/>
          <w:color w:val="0F1419"/>
          <w:sz w:val="22"/>
          <w:shd w:val="clear" w:color="auto" w:fill="FFFFFF"/>
        </w:rPr>
        <w:t xml:space="preserve"> </w:t>
      </w:r>
      <w:r w:rsidRPr="0025433D">
        <w:rPr>
          <w:rFonts w:cs="Segoe UI"/>
          <w:color w:val="0F1419"/>
          <w:sz w:val="22"/>
          <w:shd w:val="clear" w:color="auto" w:fill="FFFFFF"/>
        </w:rPr>
        <w:t>Sąd ustalił również kar</w:t>
      </w:r>
      <w:r w:rsidR="00126310" w:rsidRPr="0025433D">
        <w:rPr>
          <w:rFonts w:cs="Segoe UI"/>
          <w:color w:val="0F1419"/>
          <w:sz w:val="22"/>
          <w:shd w:val="clear" w:color="auto" w:fill="FFFFFF"/>
        </w:rPr>
        <w:t>ę</w:t>
      </w:r>
      <w:r w:rsidRPr="0025433D">
        <w:rPr>
          <w:rFonts w:cs="Segoe UI"/>
          <w:color w:val="0F1419"/>
          <w:sz w:val="22"/>
          <w:shd w:val="clear" w:color="auto" w:fill="FFFFFF"/>
        </w:rPr>
        <w:t xml:space="preserve"> pieniężną w wysokości ponad pół miliarda złotych (506 mln zł)</w:t>
      </w:r>
      <w:r w:rsidR="00A129C5" w:rsidRPr="0025433D">
        <w:rPr>
          <w:rFonts w:cs="Segoe UI"/>
          <w:color w:val="0F1419"/>
          <w:sz w:val="22"/>
          <w:shd w:val="clear" w:color="auto" w:fill="FFFFFF"/>
        </w:rPr>
        <w:t>.</w:t>
      </w:r>
    </w:p>
    <w:p w14:paraId="74556025" w14:textId="5F1B3F36" w:rsidR="00615437" w:rsidRPr="0025433D" w:rsidRDefault="00AB3C85" w:rsidP="00C81AE9">
      <w:pPr>
        <w:spacing w:after="120" w:line="360" w:lineRule="auto"/>
        <w:jc w:val="both"/>
        <w:rPr>
          <w:sz w:val="22"/>
        </w:rPr>
      </w:pPr>
      <w:r w:rsidRPr="0025433D">
        <w:rPr>
          <w:color w:val="000000"/>
          <w:sz w:val="22"/>
        </w:rPr>
        <w:t xml:space="preserve">W 2024 r. Prezes UOKiK wszczął również  3 postępowania wyjaśniające i wydał jedną decyzję w sprawie praktyk nieuczciwie wykorzystujących przewagę kontraktową. Wystosował również </w:t>
      </w:r>
      <w:r w:rsidR="002D3D0A">
        <w:rPr>
          <w:color w:val="000000"/>
          <w:sz w:val="22"/>
        </w:rPr>
        <w:t>31</w:t>
      </w:r>
      <w:r w:rsidR="002D3D0A" w:rsidRPr="0025433D">
        <w:rPr>
          <w:color w:val="000000"/>
          <w:sz w:val="22"/>
        </w:rPr>
        <w:t xml:space="preserve"> </w:t>
      </w:r>
      <w:r w:rsidRPr="0025433D">
        <w:rPr>
          <w:color w:val="000000"/>
          <w:sz w:val="22"/>
        </w:rPr>
        <w:t>wystąpień miękkich do przedsiębiorców</w:t>
      </w:r>
      <w:r w:rsidR="00501725" w:rsidRPr="0025433D">
        <w:rPr>
          <w:color w:val="000000"/>
          <w:sz w:val="22"/>
        </w:rPr>
        <w:t>.</w:t>
      </w:r>
      <w:r w:rsidRPr="0025433D">
        <w:rPr>
          <w:color w:val="000000"/>
          <w:sz w:val="22"/>
        </w:rPr>
        <w:t xml:space="preserve"> </w:t>
      </w:r>
      <w:r w:rsidR="00615437" w:rsidRPr="0025433D">
        <w:rPr>
          <w:color w:val="000000"/>
          <w:sz w:val="22"/>
        </w:rPr>
        <w:t xml:space="preserve">7 z nich </w:t>
      </w:r>
      <w:r w:rsidR="00615437" w:rsidRPr="0025433D">
        <w:rPr>
          <w:sz w:val="22"/>
        </w:rPr>
        <w:t>dotyczyło wezwań dużych przetwórców owoców do zmiany praktyk handlowych. 5 z nich dobrowolnie dostosowało się, skracając terminy płatności za owoce łatwo psujące się oraz umożliwiając weryfikację badań jakościowych</w:t>
      </w:r>
      <w:r w:rsidR="00CF3C72" w:rsidRPr="0025433D">
        <w:rPr>
          <w:sz w:val="22"/>
        </w:rPr>
        <w:t>.</w:t>
      </w:r>
    </w:p>
    <w:p w14:paraId="5E4393CA" w14:textId="5DFDEDD7" w:rsidR="00615437" w:rsidRPr="0025433D" w:rsidRDefault="00615437" w:rsidP="00C81AE9">
      <w:pPr>
        <w:pStyle w:val="Akapitzlist"/>
        <w:spacing w:after="120" w:line="360" w:lineRule="auto"/>
        <w:ind w:left="0"/>
        <w:jc w:val="both"/>
        <w:rPr>
          <w:sz w:val="22"/>
        </w:rPr>
      </w:pPr>
      <w:r w:rsidRPr="0025433D">
        <w:rPr>
          <w:sz w:val="22"/>
        </w:rPr>
        <w:t>W 2024 r. Prezes Urzędu prowadził również dialog z producentami cukru w celu wypracowania nowych standardów zaopatrywania plantatorów buraka cukrowego w materiał siewny</w:t>
      </w:r>
      <w:r w:rsidR="00CF3C72" w:rsidRPr="0025433D">
        <w:rPr>
          <w:sz w:val="22"/>
        </w:rPr>
        <w:t xml:space="preserve"> i</w:t>
      </w:r>
      <w:r w:rsidRPr="0025433D">
        <w:rPr>
          <w:sz w:val="22"/>
        </w:rPr>
        <w:t xml:space="preserve"> umożliwi</w:t>
      </w:r>
      <w:r w:rsidR="00CF3C72" w:rsidRPr="0025433D">
        <w:rPr>
          <w:sz w:val="22"/>
        </w:rPr>
        <w:t>enia</w:t>
      </w:r>
      <w:r w:rsidRPr="0025433D">
        <w:rPr>
          <w:sz w:val="22"/>
        </w:rPr>
        <w:t xml:space="preserve"> im szersz</w:t>
      </w:r>
      <w:r w:rsidR="00CF3C72" w:rsidRPr="0025433D">
        <w:rPr>
          <w:sz w:val="22"/>
        </w:rPr>
        <w:t>ego</w:t>
      </w:r>
      <w:r w:rsidRPr="0025433D">
        <w:rPr>
          <w:sz w:val="22"/>
        </w:rPr>
        <w:t xml:space="preserve"> dostęp</w:t>
      </w:r>
      <w:r w:rsidR="00CF3C72" w:rsidRPr="0025433D">
        <w:rPr>
          <w:sz w:val="22"/>
        </w:rPr>
        <w:t>u</w:t>
      </w:r>
      <w:r w:rsidRPr="0025433D">
        <w:rPr>
          <w:sz w:val="22"/>
        </w:rPr>
        <w:t xml:space="preserve"> do oferowanych na rynku nasion. Skutkiem podjętych działań było wprowadzenie modyfikacji do postanowień Ogólnopolskiego Porozumienia Branżowego, którego sygnatariuszami są wszyscy producenci cukru działający w Polsce.  </w:t>
      </w:r>
    </w:p>
    <w:p w14:paraId="30424068" w14:textId="77777777" w:rsidR="003E14A2" w:rsidRPr="0025433D" w:rsidRDefault="003E14A2" w:rsidP="003E14A2">
      <w:pPr>
        <w:spacing w:after="240" w:line="360" w:lineRule="auto"/>
        <w:jc w:val="both"/>
        <w:rPr>
          <w:b/>
          <w:sz w:val="22"/>
        </w:rPr>
      </w:pPr>
      <w:r w:rsidRPr="0025433D">
        <w:rPr>
          <w:b/>
          <w:sz w:val="22"/>
        </w:rPr>
        <w:t xml:space="preserve">Kontrola koncentracji </w:t>
      </w:r>
    </w:p>
    <w:p w14:paraId="78AD92B2" w14:textId="3354D907" w:rsidR="003E14A2" w:rsidRPr="0025433D" w:rsidRDefault="003E14A2" w:rsidP="003E14A2">
      <w:pPr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 w:rsidRPr="0025433D">
        <w:rPr>
          <w:rFonts w:cs="Tahoma"/>
          <w:color w:val="000000" w:themeColor="text1"/>
          <w:sz w:val="22"/>
          <w:shd w:val="clear" w:color="auto" w:fill="FFFFFF"/>
        </w:rPr>
        <w:t xml:space="preserve">W 2024 roku Prezes UOKiK wydał 312 zgód na koncentrację, z czego 3 były decyzjami warunkowymi. Dotyczyły rynków: </w:t>
      </w:r>
      <w:hyperlink r:id="rId15" w:history="1">
        <w:r w:rsidRPr="0025433D">
          <w:rPr>
            <w:rStyle w:val="Hipercze"/>
            <w:rFonts w:cs="Tahoma"/>
            <w:color w:val="000000" w:themeColor="text1"/>
            <w:sz w:val="22"/>
            <w:shd w:val="clear" w:color="auto" w:fill="FFFFFF"/>
          </w:rPr>
          <w:t>kabli i przewodów</w:t>
        </w:r>
      </w:hyperlink>
      <w:r w:rsidRPr="0025433D">
        <w:rPr>
          <w:rFonts w:cs="Tahoma"/>
          <w:color w:val="000000" w:themeColor="text1"/>
          <w:sz w:val="22"/>
          <w:shd w:val="clear" w:color="auto" w:fill="FFFFFF"/>
        </w:rPr>
        <w:t xml:space="preserve">, </w:t>
      </w:r>
      <w:hyperlink r:id="rId16" w:history="1">
        <w:r w:rsidRPr="0025433D">
          <w:rPr>
            <w:rStyle w:val="Hipercze"/>
            <w:rFonts w:cs="Tahoma"/>
            <w:color w:val="000000" w:themeColor="text1"/>
            <w:sz w:val="22"/>
            <w:shd w:val="clear" w:color="auto" w:fill="FFFFFF"/>
          </w:rPr>
          <w:t>cementu</w:t>
        </w:r>
      </w:hyperlink>
      <w:r w:rsidRPr="0025433D">
        <w:rPr>
          <w:rFonts w:cs="Tahoma"/>
          <w:color w:val="000000" w:themeColor="text1"/>
          <w:sz w:val="22"/>
          <w:shd w:val="clear" w:color="auto" w:fill="FFFFFF"/>
        </w:rPr>
        <w:t xml:space="preserve"> oraz </w:t>
      </w:r>
      <w:hyperlink r:id="rId17" w:history="1">
        <w:r w:rsidRPr="0025433D">
          <w:rPr>
            <w:rStyle w:val="Hipercze"/>
            <w:rFonts w:cs="Tahoma"/>
            <w:color w:val="000000" w:themeColor="text1"/>
            <w:sz w:val="22"/>
            <w:shd w:val="clear" w:color="auto" w:fill="FFFFFF"/>
          </w:rPr>
          <w:t>paliw</w:t>
        </w:r>
      </w:hyperlink>
      <w:r w:rsidRPr="0025433D">
        <w:rPr>
          <w:rFonts w:cs="Tahoma"/>
          <w:color w:val="000000" w:themeColor="text1"/>
          <w:sz w:val="22"/>
          <w:shd w:val="clear" w:color="auto" w:fill="FFFFFF"/>
        </w:rPr>
        <w:t>. Wszcz</w:t>
      </w:r>
      <w:r w:rsidR="00CF3C72" w:rsidRPr="0025433D">
        <w:rPr>
          <w:rFonts w:cs="Tahoma"/>
          <w:color w:val="000000" w:themeColor="text1"/>
          <w:sz w:val="22"/>
          <w:shd w:val="clear" w:color="auto" w:fill="FFFFFF"/>
        </w:rPr>
        <w:t>ęto</w:t>
      </w:r>
      <w:r w:rsidRPr="0025433D">
        <w:rPr>
          <w:rFonts w:cs="Tahoma"/>
          <w:color w:val="000000" w:themeColor="text1"/>
          <w:sz w:val="22"/>
          <w:shd w:val="clear" w:color="auto" w:fill="FFFFFF"/>
        </w:rPr>
        <w:t xml:space="preserve"> także 353 nowe postępowania w których sprawdza</w:t>
      </w:r>
      <w:r w:rsidR="00CF3C72" w:rsidRPr="0025433D">
        <w:rPr>
          <w:rFonts w:cs="Tahoma"/>
          <w:color w:val="000000" w:themeColor="text1"/>
          <w:sz w:val="22"/>
          <w:shd w:val="clear" w:color="auto" w:fill="FFFFFF"/>
        </w:rPr>
        <w:t>no</w:t>
      </w:r>
      <w:r w:rsidRPr="0025433D">
        <w:rPr>
          <w:rFonts w:cs="Tahoma"/>
          <w:color w:val="000000" w:themeColor="text1"/>
          <w:sz w:val="22"/>
          <w:shd w:val="clear" w:color="auto" w:fill="FFFFFF"/>
        </w:rPr>
        <w:t>, czy planowane transakcje nie wpłyną negatywnie na konkurencję.</w:t>
      </w:r>
    </w:p>
    <w:p w14:paraId="35E1C15B" w14:textId="7517FD63" w:rsidR="003E14A2" w:rsidRPr="0025433D" w:rsidRDefault="003E14A2" w:rsidP="003E14A2">
      <w:pPr>
        <w:spacing w:after="240" w:line="360" w:lineRule="auto"/>
        <w:jc w:val="both"/>
        <w:rPr>
          <w:color w:val="000000" w:themeColor="text1"/>
          <w:sz w:val="22"/>
        </w:rPr>
      </w:pPr>
      <w:r w:rsidRPr="0025433D">
        <w:rPr>
          <w:rFonts w:cs="Tahoma"/>
          <w:color w:val="000000" w:themeColor="text1"/>
          <w:sz w:val="22"/>
          <w:shd w:val="clear" w:color="auto" w:fill="FFFFFF"/>
        </w:rPr>
        <w:t xml:space="preserve">Przykładem wydanej zgody na koncentrację jest decyzja w sprawie  przejęcia przez </w:t>
      </w:r>
      <w:r w:rsidRPr="0025433D">
        <w:rPr>
          <w:color w:val="000000" w:themeColor="text1"/>
          <w:sz w:val="22"/>
        </w:rPr>
        <w:t>Lisner Holding kontroli nad Greenwich oraz nabycie części mienia Koral z Tczewa. Przedsiębiorcy zajmują się m.in. produkcją gotowych dań</w:t>
      </w:r>
      <w:r w:rsidR="00CF3C72" w:rsidRPr="0025433D">
        <w:rPr>
          <w:color w:val="000000" w:themeColor="text1"/>
          <w:sz w:val="22"/>
        </w:rPr>
        <w:t>,</w:t>
      </w:r>
      <w:r w:rsidRPr="0025433D">
        <w:rPr>
          <w:color w:val="000000" w:themeColor="text1"/>
          <w:sz w:val="22"/>
        </w:rPr>
        <w:t xml:space="preserve"> w szczególności wyrobów rybnych. W ramach postępowania Prezes Urzędu przeprowadził ankietę wśród konkurentów i kontrahentów uczestników koncentracji. Na podstawie uzyskanych wyników uznał, że </w:t>
      </w:r>
      <w:r w:rsidR="00CF3C72" w:rsidRPr="0025433D">
        <w:rPr>
          <w:color w:val="000000" w:themeColor="text1"/>
          <w:sz w:val="22"/>
        </w:rPr>
        <w:t>transakcja</w:t>
      </w:r>
      <w:r w:rsidRPr="0025433D">
        <w:rPr>
          <w:color w:val="000000" w:themeColor="text1"/>
          <w:sz w:val="22"/>
        </w:rPr>
        <w:t xml:space="preserve"> nie doprowadzi do istotnego ograniczenia konkurencji</w:t>
      </w:r>
      <w:r w:rsidR="002563CF">
        <w:rPr>
          <w:color w:val="000000" w:themeColor="text1"/>
          <w:sz w:val="22"/>
        </w:rPr>
        <w:t>.</w:t>
      </w:r>
    </w:p>
    <w:p w14:paraId="56FA1CCD" w14:textId="16E11F69" w:rsidR="00AB3C85" w:rsidRPr="0025433D" w:rsidRDefault="003E14A2" w:rsidP="003E14A2">
      <w:pPr>
        <w:spacing w:after="240" w:line="360" w:lineRule="auto"/>
        <w:jc w:val="both"/>
        <w:rPr>
          <w:rFonts w:cs="Tahoma"/>
          <w:color w:val="000000" w:themeColor="text1"/>
          <w:sz w:val="22"/>
          <w:shd w:val="clear" w:color="auto" w:fill="FFFFFF"/>
        </w:rPr>
      </w:pPr>
      <w:r w:rsidRPr="0025433D">
        <w:rPr>
          <w:rFonts w:cs="Tahoma"/>
          <w:color w:val="000000" w:themeColor="text1"/>
          <w:sz w:val="22"/>
          <w:shd w:val="clear" w:color="auto" w:fill="FFFFFF"/>
        </w:rPr>
        <w:t xml:space="preserve">Prezes Urzędu  wydał ponadto </w:t>
      </w:r>
      <w:r w:rsidR="00B9638D">
        <w:rPr>
          <w:rFonts w:cs="Tahoma"/>
          <w:color w:val="000000" w:themeColor="text1"/>
          <w:sz w:val="22"/>
          <w:shd w:val="clear" w:color="auto" w:fill="FFFFFF"/>
        </w:rPr>
        <w:t>3</w:t>
      </w:r>
      <w:r w:rsidR="00B9638D" w:rsidRPr="0025433D">
        <w:rPr>
          <w:rFonts w:cs="Tahoma"/>
          <w:color w:val="000000" w:themeColor="text1"/>
          <w:sz w:val="22"/>
          <w:shd w:val="clear" w:color="auto" w:fill="FFFFFF"/>
        </w:rPr>
        <w:t xml:space="preserve"> </w:t>
      </w:r>
      <w:r w:rsidRPr="0025433D">
        <w:rPr>
          <w:rFonts w:cs="Tahoma"/>
          <w:color w:val="000000" w:themeColor="text1"/>
          <w:sz w:val="22"/>
          <w:shd w:val="clear" w:color="auto" w:fill="FFFFFF"/>
        </w:rPr>
        <w:t>decyzje z zakresu kontroli inwestycji.</w:t>
      </w:r>
    </w:p>
    <w:p w14:paraId="3E480A4C" w14:textId="0119FEC6" w:rsidR="00AB3C85" w:rsidRPr="0025433D" w:rsidRDefault="00AB3C85" w:rsidP="00F126FA">
      <w:pPr>
        <w:spacing w:after="240" w:line="360" w:lineRule="auto"/>
        <w:jc w:val="both"/>
        <w:rPr>
          <w:b/>
          <w:iCs/>
          <w:sz w:val="22"/>
        </w:rPr>
      </w:pPr>
      <w:r w:rsidRPr="0025433D">
        <w:rPr>
          <w:b/>
          <w:iCs/>
          <w:sz w:val="22"/>
        </w:rPr>
        <w:t>Zatory płatnicze</w:t>
      </w:r>
      <w:r w:rsidR="00D535D9" w:rsidRPr="0025433D">
        <w:rPr>
          <w:b/>
          <w:iCs/>
          <w:sz w:val="22"/>
        </w:rPr>
        <w:t xml:space="preserve"> </w:t>
      </w:r>
    </w:p>
    <w:p w14:paraId="32EBD622" w14:textId="4D21A4FD" w:rsidR="00AB3C85" w:rsidRPr="0025433D" w:rsidRDefault="00A24670" w:rsidP="00F126FA">
      <w:pPr>
        <w:spacing w:after="240" w:line="360" w:lineRule="auto"/>
        <w:jc w:val="both"/>
        <w:rPr>
          <w:sz w:val="22"/>
        </w:rPr>
      </w:pPr>
      <w:r w:rsidRPr="0025433D">
        <w:rPr>
          <w:rFonts w:cs="Segoe UI"/>
          <w:iCs/>
          <w:color w:val="222222"/>
          <w:sz w:val="22"/>
          <w:lang w:eastAsia="pl-PL"/>
        </w:rPr>
        <w:lastRenderedPageBreak/>
        <w:t>W 2024 r. Prezes UOKiK postawił na działania miękkie i wystąpienia do przedsiębiorców</w:t>
      </w:r>
      <w:r w:rsidRPr="0025433D">
        <w:rPr>
          <w:sz w:val="22"/>
        </w:rPr>
        <w:t xml:space="preserve">, których dyscyplina płatnicza budziła wątpliwości. W 2024 wystosowanych zostało 79 takich wezwań. Niezależnie od tego prowadzone były postepowania, w ramach których przeanalizowano 2,8 mln faktur. W 2024 r. Prezes UOKiK wszczął 31 postepowań. </w:t>
      </w:r>
    </w:p>
    <w:p w14:paraId="19B497FB" w14:textId="0DEF548A" w:rsidR="005814A5" w:rsidRPr="0025433D" w:rsidRDefault="005814A5" w:rsidP="00F126FA">
      <w:pPr>
        <w:spacing w:after="240" w:line="360" w:lineRule="auto"/>
        <w:jc w:val="both"/>
        <w:rPr>
          <w:rFonts w:cs="Arial"/>
          <w:bCs/>
          <w:sz w:val="22"/>
          <w:lang w:eastAsia="en-GB"/>
        </w:rPr>
      </w:pPr>
      <w:r w:rsidRPr="0025433D">
        <w:rPr>
          <w:rFonts w:eastAsia="Calibri"/>
          <w:sz w:val="22"/>
        </w:rPr>
        <w:t>W</w:t>
      </w:r>
      <w:r w:rsidRPr="0025433D">
        <w:rPr>
          <w:sz w:val="22"/>
        </w:rPr>
        <w:t xml:space="preserve"> celu zwalczania zatorów płatniczych UOKiK monitoruje rynek korzystając z różnych źródeł informacji – zarówno tych powszechnie dostępnych</w:t>
      </w:r>
      <w:r w:rsidR="00A30B7B" w:rsidRPr="0025433D">
        <w:rPr>
          <w:sz w:val="22"/>
        </w:rPr>
        <w:t>,</w:t>
      </w:r>
      <w:r w:rsidRPr="0025433D">
        <w:rPr>
          <w:sz w:val="22"/>
        </w:rPr>
        <w:t xml:space="preserve"> jak i własnych analiz. </w:t>
      </w:r>
      <w:r w:rsidRPr="0025433D">
        <w:rPr>
          <w:rFonts w:eastAsia="Calibri"/>
          <w:sz w:val="22"/>
        </w:rPr>
        <w:t>Cenne są również zawiadomienia podmiotów, które podejrzewają, że stały się ofiarą zatorów płatniczych.</w:t>
      </w:r>
      <w:r w:rsidRPr="0025433D">
        <w:rPr>
          <w:rFonts w:cs="Arial"/>
          <w:bCs/>
          <w:sz w:val="22"/>
          <w:lang w:eastAsia="en-GB"/>
        </w:rPr>
        <w:t xml:space="preserve"> </w:t>
      </w:r>
      <w:r w:rsidRPr="0025433D">
        <w:rPr>
          <w:rFonts w:eastAsia="Calibri"/>
          <w:sz w:val="22"/>
        </w:rPr>
        <w:t>W 2024 r. rozpatrz</w:t>
      </w:r>
      <w:r w:rsidR="00615437" w:rsidRPr="0025433D">
        <w:rPr>
          <w:rFonts w:eastAsia="Calibri"/>
          <w:sz w:val="22"/>
        </w:rPr>
        <w:t>ono</w:t>
      </w:r>
      <w:r w:rsidRPr="0025433D">
        <w:rPr>
          <w:rFonts w:eastAsia="Calibri"/>
          <w:sz w:val="22"/>
        </w:rPr>
        <w:t xml:space="preserve"> 28 zawiadomień dotyczących podejrzenia wystąpienia nadmiernego opóźniania się ze spełnianiem świadczeń pieniężnych. </w:t>
      </w:r>
    </w:p>
    <w:p w14:paraId="1C8293F2" w14:textId="77777777" w:rsidR="00AB3C85" w:rsidRPr="0025433D" w:rsidRDefault="00AB3C85" w:rsidP="00F126FA">
      <w:pPr>
        <w:spacing w:after="240" w:line="360" w:lineRule="auto"/>
        <w:jc w:val="both"/>
        <w:rPr>
          <w:b/>
          <w:sz w:val="22"/>
        </w:rPr>
      </w:pPr>
      <w:r w:rsidRPr="0025433D">
        <w:rPr>
          <w:b/>
          <w:bCs/>
          <w:sz w:val="22"/>
        </w:rPr>
        <w:t>Pomoc publiczna</w:t>
      </w:r>
    </w:p>
    <w:p w14:paraId="58726A3A" w14:textId="77777777" w:rsidR="00AB3C85" w:rsidRPr="0025433D" w:rsidRDefault="00AB3C85" w:rsidP="00F126FA">
      <w:pPr>
        <w:spacing w:after="240" w:line="360" w:lineRule="auto"/>
        <w:jc w:val="both"/>
        <w:rPr>
          <w:sz w:val="22"/>
        </w:rPr>
      </w:pPr>
      <w:r w:rsidRPr="0025433D">
        <w:rPr>
          <w:sz w:val="22"/>
        </w:rPr>
        <w:t xml:space="preserve">Pomoc publiczna jest ingerencją państwa w mechanizmy wolnego rynku, dlatego stosowana jest w ograniczonym zakresie. UOKiK </w:t>
      </w:r>
      <w:hyperlink r:id="rId18" w:history="1">
        <w:r w:rsidRPr="0025433D">
          <w:rPr>
            <w:rStyle w:val="Hipercze"/>
            <w:sz w:val="22"/>
          </w:rPr>
          <w:t>wstępnie ocenia wsparcie indywidualne i programy pomocowe</w:t>
        </w:r>
      </w:hyperlink>
      <w:r w:rsidRPr="0025433D">
        <w:rPr>
          <w:sz w:val="22"/>
        </w:rPr>
        <w:t xml:space="preserve"> pod kątem zgodności z prawem unijnym oraz</w:t>
      </w:r>
      <w:r w:rsidRPr="0025433D">
        <w:rPr>
          <w:rFonts w:cs="Tahoma"/>
          <w:color w:val="3C4147"/>
          <w:sz w:val="22"/>
          <w:shd w:val="clear" w:color="auto" w:fill="FFFFFF"/>
        </w:rPr>
        <w:t xml:space="preserve"> </w:t>
      </w:r>
      <w:hyperlink r:id="rId19" w:history="1">
        <w:r w:rsidRPr="0025433D">
          <w:rPr>
            <w:rStyle w:val="Hipercze"/>
            <w:iCs/>
            <w:sz w:val="22"/>
          </w:rPr>
          <w:t>monitoruje pomoc publiczną</w:t>
        </w:r>
      </w:hyperlink>
      <w:r w:rsidRPr="0025433D">
        <w:rPr>
          <w:sz w:val="22"/>
        </w:rPr>
        <w:t xml:space="preserve">, czyli wsparcie udzielone przedsiębiorcom w Polsce. </w:t>
      </w:r>
      <w:bookmarkStart w:id="1" w:name="_Hlk157695044"/>
    </w:p>
    <w:bookmarkEnd w:id="1"/>
    <w:p w14:paraId="38621F91" w14:textId="58CF7B7C" w:rsidR="00AB3C85" w:rsidRPr="0025433D" w:rsidRDefault="00AB3C85" w:rsidP="00F126FA">
      <w:pPr>
        <w:spacing w:after="240" w:line="360" w:lineRule="auto"/>
        <w:jc w:val="both"/>
        <w:rPr>
          <w:sz w:val="22"/>
        </w:rPr>
      </w:pPr>
      <w:r w:rsidRPr="0025433D">
        <w:rPr>
          <w:sz w:val="22"/>
        </w:rPr>
        <w:t xml:space="preserve">W 2024 roku Urząd zaopiniował 26 projektów dotyczących programów pomocowych i pomocy indywidualnej. Do UOKiK </w:t>
      </w:r>
      <w:r w:rsidRPr="0025433D">
        <w:rPr>
          <w:bCs/>
          <w:sz w:val="22"/>
        </w:rPr>
        <w:t xml:space="preserve">wpłynęło </w:t>
      </w:r>
      <w:r w:rsidR="00A93C9D" w:rsidRPr="0025433D">
        <w:rPr>
          <w:bCs/>
          <w:sz w:val="22"/>
        </w:rPr>
        <w:t>778</w:t>
      </w:r>
      <w:r w:rsidRPr="0025433D">
        <w:rPr>
          <w:bCs/>
          <w:sz w:val="22"/>
        </w:rPr>
        <w:t xml:space="preserve"> wniosków o interpretację i </w:t>
      </w:r>
      <w:r w:rsidR="00A93C9D" w:rsidRPr="0025433D">
        <w:rPr>
          <w:bCs/>
          <w:sz w:val="22"/>
        </w:rPr>
        <w:t>175</w:t>
      </w:r>
      <w:r w:rsidRPr="0025433D">
        <w:rPr>
          <w:bCs/>
          <w:sz w:val="22"/>
        </w:rPr>
        <w:t xml:space="preserve"> projektów dokumentów rządowych do </w:t>
      </w:r>
      <w:r w:rsidRPr="0025433D">
        <w:rPr>
          <w:sz w:val="22"/>
        </w:rPr>
        <w:t xml:space="preserve">analizy pod kątem możliwości wystąpienia pomocy publicznej. Ponadto do Urzędu zgłoszono </w:t>
      </w:r>
      <w:r w:rsidR="00A93C9D" w:rsidRPr="0025433D">
        <w:rPr>
          <w:sz w:val="22"/>
        </w:rPr>
        <w:t xml:space="preserve">3109 </w:t>
      </w:r>
      <w:r w:rsidRPr="0025433D">
        <w:rPr>
          <w:sz w:val="22"/>
        </w:rPr>
        <w:t>projektów programów de minimis, które UOKiK oceniał pod względem przejrzystości zasad udzielania pomocy.</w:t>
      </w:r>
    </w:p>
    <w:p w14:paraId="2761D81E" w14:textId="48A69725" w:rsidR="00AB3C85" w:rsidRDefault="00AB3C85" w:rsidP="00F126FA">
      <w:pPr>
        <w:spacing w:after="240" w:line="360" w:lineRule="auto"/>
        <w:jc w:val="both"/>
        <w:rPr>
          <w:sz w:val="22"/>
        </w:rPr>
      </w:pPr>
      <w:r w:rsidRPr="0025433D">
        <w:rPr>
          <w:sz w:val="22"/>
        </w:rPr>
        <w:t xml:space="preserve">Prezes UOKiK notyfikował w </w:t>
      </w:r>
      <w:r w:rsidR="001E3D48" w:rsidRPr="0025433D">
        <w:rPr>
          <w:sz w:val="22"/>
        </w:rPr>
        <w:t>202</w:t>
      </w:r>
      <w:r w:rsidR="001E3D48">
        <w:rPr>
          <w:sz w:val="22"/>
        </w:rPr>
        <w:t>4</w:t>
      </w:r>
      <w:r w:rsidR="001E3D48" w:rsidRPr="0025433D">
        <w:rPr>
          <w:sz w:val="22"/>
        </w:rPr>
        <w:t xml:space="preserve"> </w:t>
      </w:r>
      <w:r w:rsidRPr="0025433D">
        <w:rPr>
          <w:sz w:val="22"/>
        </w:rPr>
        <w:t xml:space="preserve">r. Komisji Europejskiej </w:t>
      </w:r>
      <w:r w:rsidR="00A93C9D" w:rsidRPr="0025433D">
        <w:rPr>
          <w:sz w:val="22"/>
        </w:rPr>
        <w:t>23</w:t>
      </w:r>
      <w:r w:rsidRPr="0025433D">
        <w:rPr>
          <w:sz w:val="22"/>
        </w:rPr>
        <w:t xml:space="preserve"> projekt</w:t>
      </w:r>
      <w:r w:rsidR="00A93C9D" w:rsidRPr="0025433D">
        <w:rPr>
          <w:sz w:val="22"/>
        </w:rPr>
        <w:t>y</w:t>
      </w:r>
      <w:r w:rsidRPr="0025433D">
        <w:rPr>
          <w:sz w:val="22"/>
        </w:rPr>
        <w:t xml:space="preserve"> przewidując</w:t>
      </w:r>
      <w:r w:rsidR="00A93C9D" w:rsidRPr="0025433D">
        <w:rPr>
          <w:sz w:val="22"/>
        </w:rPr>
        <w:t>e</w:t>
      </w:r>
      <w:r w:rsidRPr="0025433D">
        <w:rPr>
          <w:sz w:val="22"/>
        </w:rPr>
        <w:t xml:space="preserve"> udzielenie pomocy publicznej, w tym </w:t>
      </w:r>
      <w:r w:rsidR="00A93C9D" w:rsidRPr="0025433D">
        <w:rPr>
          <w:sz w:val="22"/>
        </w:rPr>
        <w:t>12</w:t>
      </w:r>
      <w:r w:rsidRPr="0025433D">
        <w:rPr>
          <w:sz w:val="22"/>
        </w:rPr>
        <w:t xml:space="preserve"> programów pomocowych i </w:t>
      </w:r>
      <w:r w:rsidR="00A93C9D" w:rsidRPr="0025433D">
        <w:rPr>
          <w:sz w:val="22"/>
        </w:rPr>
        <w:t>11</w:t>
      </w:r>
      <w:r w:rsidRPr="0025433D">
        <w:rPr>
          <w:sz w:val="22"/>
        </w:rPr>
        <w:t xml:space="preserve"> dotyczących pomocy indywidualnej. KE zaakceptowała </w:t>
      </w:r>
      <w:r w:rsidR="001E3D48" w:rsidRPr="0025433D">
        <w:rPr>
          <w:sz w:val="22"/>
        </w:rPr>
        <w:t>1</w:t>
      </w:r>
      <w:r w:rsidR="001E3D48">
        <w:rPr>
          <w:sz w:val="22"/>
        </w:rPr>
        <w:t>8</w:t>
      </w:r>
      <w:r w:rsidR="001E3D48" w:rsidRPr="0025433D">
        <w:rPr>
          <w:sz w:val="22"/>
        </w:rPr>
        <w:t xml:space="preserve"> </w:t>
      </w:r>
      <w:r w:rsidRPr="0025433D">
        <w:rPr>
          <w:sz w:val="22"/>
        </w:rPr>
        <w:t>projektów pomocowych.</w:t>
      </w:r>
    </w:p>
    <w:p w14:paraId="3A014E84" w14:textId="3E03D2A0" w:rsidR="00943B3D" w:rsidRPr="00B970DE" w:rsidRDefault="00A86095" w:rsidP="00F126FA">
      <w:pPr>
        <w:spacing w:after="240" w:line="360" w:lineRule="auto"/>
        <w:jc w:val="both"/>
        <w:rPr>
          <w:sz w:val="22"/>
        </w:rPr>
      </w:pPr>
      <w:hyperlink r:id="rId20" w:history="1">
        <w:r w:rsidR="00CC43E9">
          <w:rPr>
            <w:rStyle w:val="Hipercze"/>
            <w:sz w:val="22"/>
          </w:rPr>
          <w:t>Zeskanuj poniższy kod QR i zobacz wszystkie komunikaty prasowe z zakresu ochrony konkurencji.</w:t>
        </w:r>
      </w:hyperlink>
    </w:p>
    <w:p w14:paraId="09A89DA3" w14:textId="3CC1BEA9" w:rsidR="00943B3D" w:rsidRPr="0025433D" w:rsidRDefault="00EB422D" w:rsidP="00F126FA">
      <w:pPr>
        <w:spacing w:after="240" w:line="360" w:lineRule="auto"/>
        <w:jc w:val="both"/>
        <w:rPr>
          <w:sz w:val="22"/>
        </w:rPr>
      </w:pPr>
      <w:r>
        <w:rPr>
          <w:noProof/>
          <w:sz w:val="22"/>
          <w:highlight w:val="yellow"/>
        </w:rPr>
        <w:lastRenderedPageBreak/>
        <w:drawing>
          <wp:inline distT="0" distB="0" distL="0" distR="0" wp14:anchorId="0AE68E26" wp14:editId="6FBC3913">
            <wp:extent cx="3762000" cy="37620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000" cy="3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F6991" w14:textId="77777777" w:rsidR="00155FA5" w:rsidRPr="0025433D" w:rsidRDefault="00155FA5" w:rsidP="00155FA5">
      <w:pPr>
        <w:spacing w:after="240" w:line="360" w:lineRule="auto"/>
        <w:jc w:val="both"/>
        <w:rPr>
          <w:sz w:val="22"/>
        </w:rPr>
      </w:pPr>
      <w:r w:rsidRPr="00487235">
        <w:rPr>
          <w:highlight w:val="lightGray"/>
        </w:rPr>
        <w:t>OCHRONA KONSUMENTÓW</w:t>
      </w:r>
    </w:p>
    <w:p w14:paraId="5901BC70" w14:textId="77777777" w:rsidR="00155FA5" w:rsidRPr="0025433D" w:rsidRDefault="00155FA5" w:rsidP="00155FA5">
      <w:pPr>
        <w:spacing w:after="240" w:line="360" w:lineRule="auto"/>
        <w:jc w:val="both"/>
        <w:rPr>
          <w:b/>
          <w:bCs/>
          <w:sz w:val="22"/>
        </w:rPr>
      </w:pPr>
      <w:r w:rsidRPr="0025433D">
        <w:rPr>
          <w:b/>
          <w:bCs/>
          <w:sz w:val="22"/>
        </w:rPr>
        <w:t>Ochrona zbiorowych interesów konsumentów i niedozwolone postanowienia umowne</w:t>
      </w:r>
    </w:p>
    <w:p w14:paraId="485BCB40" w14:textId="146A2F1B" w:rsidR="00155FA5" w:rsidRPr="0025433D" w:rsidRDefault="00155FA5" w:rsidP="00155FA5">
      <w:pPr>
        <w:spacing w:after="240" w:line="360" w:lineRule="auto"/>
        <w:jc w:val="both"/>
        <w:rPr>
          <w:sz w:val="22"/>
        </w:rPr>
      </w:pPr>
      <w:r w:rsidRPr="0025433D">
        <w:rPr>
          <w:rFonts w:cs="Tahoma"/>
          <w:color w:val="000000" w:themeColor="text1"/>
          <w:sz w:val="22"/>
        </w:rPr>
        <w:t>W 2024 r. Prezes</w:t>
      </w:r>
      <w:r w:rsidRPr="0025433D">
        <w:rPr>
          <w:bCs/>
          <w:sz w:val="22"/>
        </w:rPr>
        <w:t xml:space="preserve"> UOKiK wszczął </w:t>
      </w:r>
      <w:r w:rsidRPr="0025433D">
        <w:rPr>
          <w:sz w:val="22"/>
        </w:rPr>
        <w:t xml:space="preserve">41 postępowań </w:t>
      </w:r>
      <w:r w:rsidRPr="0025433D">
        <w:rPr>
          <w:bCs/>
          <w:sz w:val="22"/>
        </w:rPr>
        <w:t>w sprawie praktyk naruszających zbiorowe interesy konsumentów oraz dotyczących uznania postanowień wzorca umowy za niedozwolone, a także 128 postępowań wyjaśniających.</w:t>
      </w:r>
      <w:r w:rsidRPr="0025433D">
        <w:rPr>
          <w:sz w:val="22"/>
        </w:rPr>
        <w:t xml:space="preserve"> </w:t>
      </w:r>
      <w:r w:rsidRPr="0025433D">
        <w:rPr>
          <w:bCs/>
          <w:sz w:val="22"/>
        </w:rPr>
        <w:t xml:space="preserve">Wydał </w:t>
      </w:r>
      <w:r w:rsidR="00BF75B7">
        <w:rPr>
          <w:bCs/>
          <w:sz w:val="22"/>
        </w:rPr>
        <w:t>7</w:t>
      </w:r>
      <w:r w:rsidR="00E415E7">
        <w:rPr>
          <w:bCs/>
          <w:sz w:val="22"/>
        </w:rPr>
        <w:t>0</w:t>
      </w:r>
      <w:r w:rsidR="00BF75B7" w:rsidRPr="0025433D">
        <w:rPr>
          <w:bCs/>
          <w:sz w:val="22"/>
        </w:rPr>
        <w:t xml:space="preserve"> decyzj</w:t>
      </w:r>
      <w:r w:rsidR="00BF75B7">
        <w:rPr>
          <w:bCs/>
          <w:sz w:val="22"/>
        </w:rPr>
        <w:t>i</w:t>
      </w:r>
      <w:r w:rsidRPr="0025433D">
        <w:rPr>
          <w:bCs/>
          <w:sz w:val="22"/>
        </w:rPr>
        <w:t>, w których nałożył łącznie prawie 263 mln zł sankcji pieniężnych na przedsiębiorców oraz ponad 2,5</w:t>
      </w:r>
      <w:r w:rsidRPr="0025433D">
        <w:rPr>
          <w:sz w:val="22"/>
        </w:rPr>
        <w:t xml:space="preserve"> mln zł</w:t>
      </w:r>
      <w:r w:rsidRPr="0025433D">
        <w:rPr>
          <w:bCs/>
          <w:sz w:val="22"/>
        </w:rPr>
        <w:t xml:space="preserve"> kar na osoby zarządzające</w:t>
      </w:r>
      <w:r w:rsidRPr="0025433D">
        <w:rPr>
          <w:sz w:val="22"/>
        </w:rPr>
        <w:t xml:space="preserve">. Prezes Urzędu wystosował również 267 wystąpień miękkich do przedsiębiorców z zakresu ochrony konsumentów. </w:t>
      </w:r>
    </w:p>
    <w:p w14:paraId="04913317" w14:textId="489DD6C8" w:rsidR="00155FA5" w:rsidRPr="0025433D" w:rsidRDefault="00155FA5" w:rsidP="00155FA5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 w:rsidRPr="0025433D">
        <w:rPr>
          <w:rFonts w:ascii="Trebuchet MS" w:hAnsi="Trebuchet MS"/>
          <w:color w:val="000000" w:themeColor="text1"/>
          <w:sz w:val="22"/>
          <w:szCs w:val="22"/>
        </w:rPr>
        <w:t xml:space="preserve">Najwyższa kara dotyczyła stosowania </w:t>
      </w:r>
      <w:r w:rsidR="004154CE" w:rsidRPr="004154CE">
        <w:rPr>
          <w:rFonts w:ascii="Trebuchet MS" w:hAnsi="Trebuchet MS"/>
          <w:color w:val="000000" w:themeColor="text1"/>
          <w:sz w:val="22"/>
          <w:szCs w:val="22"/>
        </w:rPr>
        <w:t xml:space="preserve">przez spółkę PayPal Europe </w:t>
      </w:r>
      <w:r w:rsidRPr="0025433D">
        <w:rPr>
          <w:rFonts w:ascii="Trebuchet MS" w:hAnsi="Trebuchet MS"/>
          <w:color w:val="000000" w:themeColor="text1"/>
          <w:sz w:val="22"/>
          <w:szCs w:val="22"/>
        </w:rPr>
        <w:t xml:space="preserve">niedozwolonych klauzul w umowach z konsumentami. „Umowa z użytkownikiem PayPal” zawierała m.in. otwarty zbiór kilkudziesięciu działań, które spółka uznawała za zabronione wraz z katalogiem, bardzo dotkliwych i trudnych do uzasadnienia sankcji. Klauzule były skonstruowane tak, że pozwalały na arbitralność decyzji spółki. Przykładowo, mogła ona „w dowolnej chwili” i „według własnego uznania” zablokować pieniądze użytkownika „w wysokości oraz przez okres tak długi, jak będzie to konieczne”. Naruszenie mogłoby nawet nie mieć związku z </w:t>
      </w:r>
      <w:r w:rsidRPr="0025433D">
        <w:rPr>
          <w:rFonts w:ascii="Trebuchet MS" w:hAnsi="Trebuchet MS"/>
          <w:color w:val="000000" w:themeColor="text1"/>
          <w:sz w:val="22"/>
          <w:szCs w:val="22"/>
        </w:rPr>
        <w:lastRenderedPageBreak/>
        <w:t xml:space="preserve">korzystaniem z konta PayPal. </w:t>
      </w:r>
      <w:hyperlink r:id="rId22" w:history="1">
        <w:r w:rsidRPr="0025433D">
          <w:rPr>
            <w:rStyle w:val="Hipercze"/>
            <w:rFonts w:ascii="Trebuchet MS" w:hAnsi="Trebuchet MS" w:cs="Tahoma"/>
            <w:sz w:val="22"/>
            <w:szCs w:val="22"/>
          </w:rPr>
          <w:t>W wydanej decyzji</w:t>
        </w:r>
      </w:hyperlink>
      <w:r w:rsidRPr="0025433D">
        <w:rPr>
          <w:rFonts w:ascii="Trebuchet MS" w:hAnsi="Trebuchet MS" w:cs="Tahoma"/>
          <w:color w:val="000000" w:themeColor="text1"/>
          <w:sz w:val="22"/>
          <w:szCs w:val="22"/>
        </w:rPr>
        <w:t xml:space="preserve"> Prezes Urzędu nałożył karę w wysokości </w:t>
      </w:r>
      <w:r w:rsidRPr="0025433D">
        <w:rPr>
          <w:rFonts w:ascii="Trebuchet MS" w:hAnsi="Trebuchet MS"/>
          <w:color w:val="000000" w:themeColor="text1"/>
          <w:sz w:val="22"/>
          <w:szCs w:val="22"/>
        </w:rPr>
        <w:t>ponad 106 mln zł.</w:t>
      </w:r>
      <w:r w:rsidRPr="0025433D">
        <w:rPr>
          <w:rFonts w:ascii="Trebuchet MS" w:hAnsi="Trebuchet MS" w:cs="Tahoma"/>
          <w:color w:val="000000" w:themeColor="text1"/>
          <w:sz w:val="22"/>
          <w:szCs w:val="22"/>
        </w:rPr>
        <w:t xml:space="preserve"> </w:t>
      </w:r>
    </w:p>
    <w:p w14:paraId="5161AEDB" w14:textId="77777777" w:rsidR="00155FA5" w:rsidRPr="0025433D" w:rsidRDefault="00155FA5" w:rsidP="00155FA5">
      <w:pPr>
        <w:pStyle w:val="Bezodstpw"/>
        <w:spacing w:after="240" w:line="360" w:lineRule="auto"/>
        <w:jc w:val="both"/>
        <w:rPr>
          <w:rFonts w:ascii="Trebuchet MS" w:eastAsia="Times New Roman" w:hAnsi="Trebuchet MS" w:cs="Tahoma"/>
          <w:color w:val="000000" w:themeColor="text1"/>
          <w:lang w:eastAsia="pl-PL"/>
        </w:rPr>
      </w:pPr>
      <w:r w:rsidRPr="0025433D">
        <w:rPr>
          <w:rFonts w:ascii="Trebuchet MS" w:eastAsia="Times New Roman" w:hAnsi="Trebuchet MS" w:cs="Tahoma"/>
          <w:color w:val="000000" w:themeColor="text1"/>
          <w:lang w:eastAsia="pl-PL"/>
        </w:rPr>
        <w:t xml:space="preserve">Ze względu na poważne naruszenia Prezes Urzędu nałożył wysokie kary na firmy z branży telekomunikacyjnej. To m.in. ponad 68 mln zł </w:t>
      </w:r>
      <w:hyperlink r:id="rId23" w:history="1">
        <w:r w:rsidRPr="0025433D">
          <w:rPr>
            <w:rStyle w:val="Hipercze"/>
            <w:rFonts w:ascii="Trebuchet MS" w:eastAsia="Times New Roman" w:hAnsi="Trebuchet MS" w:cs="Tahoma"/>
            <w:lang w:eastAsia="pl-PL"/>
          </w:rPr>
          <w:t>kary na spółkę Vectra</w:t>
        </w:r>
      </w:hyperlink>
      <w:r w:rsidRPr="0025433D">
        <w:rPr>
          <w:rFonts w:ascii="Trebuchet MS" w:eastAsia="Times New Roman" w:hAnsi="Trebuchet MS" w:cs="Tahoma"/>
          <w:color w:val="000000" w:themeColor="text1"/>
          <w:lang w:eastAsia="pl-PL"/>
        </w:rPr>
        <w:t xml:space="preserve"> za stosowanie klauzul, w oparciu o które podwyższała ona opłaty swoim klientom. Wobec spółki Vectra, a także Multimedia Polska wszczął ponadto postępowania dotyczące sposobu prezentowania cen i praktyk polegających na podwyższaniu opłat  o wartość rabatu, konsumentom, którzy nie opłacają rachunków w terminie lub mają zaległości w płatnościach. </w:t>
      </w:r>
    </w:p>
    <w:p w14:paraId="2B7DD58F" w14:textId="77777777" w:rsidR="00155FA5" w:rsidRPr="0025433D" w:rsidRDefault="00155FA5" w:rsidP="00155FA5">
      <w:pPr>
        <w:pStyle w:val="Bezodstpw"/>
        <w:spacing w:after="240" w:line="360" w:lineRule="auto"/>
        <w:jc w:val="both"/>
        <w:rPr>
          <w:rFonts w:ascii="Trebuchet MS" w:hAnsi="Trebuchet MS" w:cs="Arial"/>
          <w:color w:val="000000"/>
          <w:shd w:val="clear" w:color="auto" w:fill="FFFFFF"/>
        </w:rPr>
      </w:pPr>
      <w:r w:rsidRPr="0025433D">
        <w:rPr>
          <w:rFonts w:ascii="Trebuchet MS" w:hAnsi="Trebuchet MS" w:cs="Arial"/>
          <w:color w:val="000000"/>
          <w:shd w:val="clear" w:color="auto" w:fill="FFFFFF"/>
        </w:rPr>
        <w:t xml:space="preserve">W 2024 r. toczyły się  ponadto postępowania dotyczące karania konsumentów utratą jednego z rabatów w związku z nieopłaceniem faktury w terminie także </w:t>
      </w:r>
      <w:hyperlink r:id="rId24" w:history="1">
        <w:r w:rsidRPr="0025433D">
          <w:rPr>
            <w:rStyle w:val="Hipercze"/>
            <w:rFonts w:ascii="Trebuchet MS" w:hAnsi="Trebuchet MS" w:cs="Arial"/>
            <w:color w:val="004183"/>
            <w:shd w:val="clear" w:color="auto" w:fill="FFFFFF"/>
          </w:rPr>
          <w:t>wobec P4</w:t>
        </w:r>
      </w:hyperlink>
      <w:r w:rsidRPr="0025433D">
        <w:rPr>
          <w:rFonts w:ascii="Trebuchet MS" w:hAnsi="Trebuchet MS" w:cs="Arial"/>
          <w:color w:val="000000"/>
          <w:shd w:val="clear" w:color="auto" w:fill="FFFFFF"/>
        </w:rPr>
        <w:t>, CANAL+ i T-Mobile. Prezes UOKiK sprawdza w nich też, w jaki sposób operatorzy prezentują ceny usług telekomunikacyjnych.</w:t>
      </w:r>
    </w:p>
    <w:p w14:paraId="1576AC2A" w14:textId="32CA65FA" w:rsidR="00155FA5" w:rsidRPr="0025433D" w:rsidRDefault="00155FA5" w:rsidP="00487235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 w:rsidRPr="0025433D">
        <w:rPr>
          <w:rFonts w:ascii="Trebuchet MS" w:hAnsi="Trebuchet MS" w:cs="Tahoma"/>
          <w:color w:val="000000" w:themeColor="text1"/>
          <w:sz w:val="22"/>
          <w:szCs w:val="22"/>
        </w:rPr>
        <w:t xml:space="preserve">Do zapłacenia kary w wysokości prawie 32 mln zł za naruszanie zbiorowych interesów konsumentów został zobowiązany właściciel platformy Amazon. </w:t>
      </w:r>
      <w:hyperlink r:id="rId25" w:history="1">
        <w:r w:rsidRPr="0025433D">
          <w:rPr>
            <w:rStyle w:val="Hipercze"/>
            <w:rFonts w:ascii="Trebuchet MS" w:hAnsi="Trebuchet MS" w:cs="Tahoma"/>
            <w:sz w:val="22"/>
            <w:szCs w:val="22"/>
          </w:rPr>
          <w:t>Firma została ukarana za wprowadzanie konsumentów w błąd</w:t>
        </w:r>
      </w:hyperlink>
      <w:r w:rsidRPr="0025433D">
        <w:rPr>
          <w:rFonts w:ascii="Trebuchet MS" w:hAnsi="Trebuchet MS" w:cs="Tahoma"/>
          <w:color w:val="000000" w:themeColor="text1"/>
          <w:sz w:val="22"/>
          <w:szCs w:val="22"/>
        </w:rPr>
        <w:t xml:space="preserve"> co do momentu zawarcia umowy sprzedaży, dostępności produktów, terminów dostaw i uprawnień klientów dotyczących usługi „Gwarancja </w:t>
      </w:r>
      <w:r w:rsidR="00626CC5" w:rsidRPr="00A86095">
        <w:rPr>
          <w:rFonts w:ascii="Trebuchet MS" w:hAnsi="Trebuchet MS" w:cs="Tahoma"/>
          <w:color w:val="000000" w:themeColor="text1"/>
          <w:sz w:val="22"/>
          <w:szCs w:val="22"/>
        </w:rPr>
        <w:t>d</w:t>
      </w:r>
      <w:r w:rsidRPr="00A86095">
        <w:rPr>
          <w:rFonts w:ascii="Trebuchet MS" w:hAnsi="Trebuchet MS" w:cs="Tahoma"/>
          <w:color w:val="000000" w:themeColor="text1"/>
          <w:sz w:val="22"/>
          <w:szCs w:val="22"/>
        </w:rPr>
        <w:t>ostawy”.</w:t>
      </w:r>
    </w:p>
    <w:p w14:paraId="04B7793D" w14:textId="77777777" w:rsidR="00155FA5" w:rsidRPr="0025433D" w:rsidRDefault="00155FA5" w:rsidP="00487235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 w:rsidRPr="0025433D">
        <w:rPr>
          <w:rFonts w:ascii="Trebuchet MS" w:hAnsi="Trebuchet MS" w:cs="Tahoma"/>
          <w:color w:val="000000" w:themeColor="text1"/>
          <w:sz w:val="22"/>
          <w:szCs w:val="22"/>
        </w:rPr>
        <w:t xml:space="preserve">Za naruszanie zbiorowych interesów konsumentów </w:t>
      </w:r>
      <w:hyperlink r:id="rId26" w:history="1">
        <w:r w:rsidRPr="0025433D">
          <w:rPr>
            <w:rStyle w:val="Hipercze"/>
            <w:rFonts w:ascii="Trebuchet MS" w:hAnsi="Trebuchet MS" w:cs="Tahoma"/>
            <w:sz w:val="22"/>
            <w:szCs w:val="22"/>
          </w:rPr>
          <w:t>ukarany został też Janusz Palikot i zarządzane przez niego Polskie Destylarnie</w:t>
        </w:r>
      </w:hyperlink>
      <w:r w:rsidRPr="0025433D">
        <w:rPr>
          <w:rFonts w:ascii="Trebuchet MS" w:hAnsi="Trebuchet MS" w:cs="Tahoma"/>
          <w:color w:val="000000" w:themeColor="text1"/>
          <w:sz w:val="22"/>
          <w:szCs w:val="22"/>
        </w:rPr>
        <w:t xml:space="preserve">. Za podawanie nieprawdziwych informacji o pozycji rynkowej spółki, nieinformowanie o ryzykach, nieistniejący crowdfunding pożyczkowy i fikcyjny konkurs w kampanii pożyczkowej „Skarbiec Palikota” Prezes UOKiK nałożył kary w łącznej kwocie blisko 1,2 mln zł. </w:t>
      </w:r>
    </w:p>
    <w:p w14:paraId="0DB2D28F" w14:textId="77777777" w:rsidR="00155FA5" w:rsidRPr="009F7900" w:rsidRDefault="00155FA5" w:rsidP="00155FA5">
      <w:pPr>
        <w:pStyle w:val="NormalnyWeb"/>
        <w:shd w:val="clear" w:color="auto" w:fill="FFFFFF"/>
        <w:spacing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 w:rsidRPr="0025433D">
        <w:rPr>
          <w:rFonts w:ascii="Trebuchet MS" w:hAnsi="Trebuchet MS" w:cs="Tahoma"/>
          <w:color w:val="000000" w:themeColor="text1"/>
          <w:sz w:val="22"/>
          <w:szCs w:val="22"/>
        </w:rPr>
        <w:t xml:space="preserve">W 2024 r. UOKiK prowadził postępowania w sprawie zachowania banków w wypadku wystąpienia nieautoryzowanych transakcji, ale też intensywne działania na rzecz poprawy bezpieczeństwa transakcji płatniczych. Powołana przez Prezesa Urzędu grupa robocza z udziałem m.in. Urzędu Komisji Nadzoru Finansowego oraz ekspertów z sektora bankowego pracowała nad rozwiązaniami mającymi ograniczyć ryzyko transakcji oszukańczych. W efekcie powstał </w:t>
      </w:r>
      <w:hyperlink r:id="rId27" w:history="1">
        <w:r w:rsidRPr="0025433D">
          <w:rPr>
            <w:rStyle w:val="Hipercze"/>
            <w:rFonts w:ascii="Trebuchet MS" w:hAnsi="Trebuchet MS" w:cs="Tahoma"/>
            <w:sz w:val="22"/>
            <w:szCs w:val="22"/>
          </w:rPr>
          <w:t>zbiór zaleceń dla dostawców usług płatniczych</w:t>
        </w:r>
      </w:hyperlink>
      <w:r w:rsidRPr="0025433D">
        <w:rPr>
          <w:rFonts w:ascii="Trebuchet MS" w:hAnsi="Trebuchet MS" w:cs="Tahoma"/>
          <w:color w:val="000000" w:themeColor="text1"/>
          <w:sz w:val="22"/>
          <w:szCs w:val="22"/>
        </w:rPr>
        <w:t xml:space="preserve">. Dokument przygotowany w UOKiK zawiera listę czynników ryzyka oraz zbiór zaleceń, które mają na celu ograniczenie </w:t>
      </w:r>
      <w:r w:rsidRPr="009F7900">
        <w:rPr>
          <w:rFonts w:ascii="Trebuchet MS" w:hAnsi="Trebuchet MS" w:cs="Tahoma"/>
          <w:color w:val="000000" w:themeColor="text1"/>
          <w:sz w:val="22"/>
          <w:szCs w:val="22"/>
        </w:rPr>
        <w:t>możliwości dokonania oszukańczych transakcji przez internet.</w:t>
      </w:r>
    </w:p>
    <w:p w14:paraId="204470AC" w14:textId="31F660DD" w:rsidR="00155FA5" w:rsidRPr="00B970DE" w:rsidRDefault="00155FA5" w:rsidP="00155FA5">
      <w:pPr>
        <w:spacing w:after="240" w:line="360" w:lineRule="auto"/>
        <w:jc w:val="both"/>
        <w:rPr>
          <w:rFonts w:cstheme="minorBidi"/>
          <w:b/>
          <w:sz w:val="22"/>
        </w:rPr>
      </w:pPr>
      <w:r w:rsidRPr="00B970DE">
        <w:rPr>
          <w:b/>
          <w:bCs/>
          <w:sz w:val="22"/>
        </w:rPr>
        <w:lastRenderedPageBreak/>
        <w:t xml:space="preserve">Inspekcja Handlowa </w:t>
      </w:r>
    </w:p>
    <w:p w14:paraId="7CA33D37" w14:textId="1824FA5E" w:rsidR="00155FA5" w:rsidRPr="0025433D" w:rsidRDefault="00155FA5" w:rsidP="00155FA5">
      <w:pPr>
        <w:spacing w:after="240" w:line="360" w:lineRule="auto"/>
        <w:jc w:val="both"/>
        <w:rPr>
          <w:bCs/>
          <w:iCs/>
          <w:sz w:val="22"/>
        </w:rPr>
      </w:pPr>
      <w:r w:rsidRPr="0025433D">
        <w:rPr>
          <w:iCs/>
          <w:sz w:val="22"/>
        </w:rPr>
        <w:t xml:space="preserve">Prezes UOKiK dba o bezpieczeństwo produktów w Polsce m.in. przy pomocy Inspekcji Handlowej (IH). Urząd planuje, koordynuje, monitoruje i analizuje wyniki kontroli prowadzonych przez wojewódzkie inspektoraty Inspekcji Handlowej. W 2024 r. </w:t>
      </w:r>
      <w:r w:rsidRPr="0025433D">
        <w:rPr>
          <w:bCs/>
          <w:iCs/>
          <w:sz w:val="22"/>
        </w:rPr>
        <w:t xml:space="preserve">Inspekcja Handlowa przeprowadziła łącznie ponad </w:t>
      </w:r>
      <w:r w:rsidR="00CC247A" w:rsidRPr="009F7900">
        <w:rPr>
          <w:bCs/>
          <w:iCs/>
          <w:sz w:val="22"/>
        </w:rPr>
        <w:t>14,5</w:t>
      </w:r>
      <w:r w:rsidRPr="009F7900">
        <w:rPr>
          <w:bCs/>
          <w:iCs/>
          <w:sz w:val="22"/>
        </w:rPr>
        <w:t xml:space="preserve"> tys. kontroli</w:t>
      </w:r>
      <w:r w:rsidRPr="0025433D">
        <w:rPr>
          <w:bCs/>
          <w:iCs/>
          <w:sz w:val="22"/>
        </w:rPr>
        <w:t xml:space="preserve"> w zakresie ogólnego bezpieczeństwa produktów, oceny zgodności wyrobów z wymaganiami oraz pozostałych kontroli dotyczących produktów nieżywnościowych i usług (w tym obowiązków informacyjnych wobec konsumentów).</w:t>
      </w:r>
    </w:p>
    <w:p w14:paraId="1D7052CE" w14:textId="08AA8642" w:rsidR="00155FA5" w:rsidRPr="0025433D" w:rsidRDefault="00155FA5" w:rsidP="00155FA5">
      <w:pPr>
        <w:spacing w:after="240" w:line="360" w:lineRule="auto"/>
        <w:jc w:val="both"/>
        <w:rPr>
          <w:rFonts w:cs="Arial"/>
          <w:iCs/>
          <w:sz w:val="22"/>
          <w:lang w:eastAsia="pl-PL"/>
        </w:rPr>
      </w:pPr>
      <w:r w:rsidRPr="0025433D">
        <w:rPr>
          <w:rFonts w:cs="Arial"/>
          <w:sz w:val="22"/>
          <w:lang w:eastAsia="pl-PL"/>
        </w:rPr>
        <w:t>W 2024 r. laboratoria UOKiK przebadały łącznie 1935 próbek w związku z kontrolami IH, w których zbadano ponad 19,5 tys. parametrów.</w:t>
      </w:r>
      <w:r w:rsidRPr="0025433D">
        <w:rPr>
          <w:rFonts w:cs="Arial"/>
          <w:iCs/>
          <w:sz w:val="22"/>
          <w:lang w:eastAsia="pl-PL"/>
        </w:rPr>
        <w:t xml:space="preserve"> Kontrole objęły w ubiegłym roku m.in. pompy ciepła, piece i kominki oraz produkty sezonowo popularne - hulajnogi, rowery, kaski rowerowe czy wyroby pirotechniczne - jako szczególnie niebezpieczne. Szczególną wagę przyłożyliśmy do produktów </w:t>
      </w:r>
      <w:r w:rsidRPr="00A86095">
        <w:rPr>
          <w:rFonts w:cs="Arial"/>
          <w:iCs/>
          <w:sz w:val="22"/>
          <w:lang w:eastAsia="pl-PL"/>
        </w:rPr>
        <w:t>przeznaczonych dla</w:t>
      </w:r>
      <w:r w:rsidR="00A86095" w:rsidRPr="00A86095">
        <w:rPr>
          <w:rFonts w:cs="Arial"/>
          <w:iCs/>
          <w:sz w:val="22"/>
          <w:lang w:eastAsia="pl-PL"/>
        </w:rPr>
        <w:t xml:space="preserve"> grupy najmłodszych konsumentów</w:t>
      </w:r>
      <w:r w:rsidRPr="00A86095">
        <w:rPr>
          <w:rFonts w:cs="Arial"/>
          <w:iCs/>
          <w:sz w:val="22"/>
          <w:lang w:eastAsia="pl-PL"/>
        </w:rPr>
        <w:t>,</w:t>
      </w:r>
      <w:r w:rsidRPr="0025433D">
        <w:rPr>
          <w:rFonts w:cs="Arial"/>
          <w:iCs/>
          <w:sz w:val="22"/>
          <w:lang w:eastAsia="pl-PL"/>
        </w:rPr>
        <w:t xml:space="preserve"> m.in. </w:t>
      </w:r>
      <w:r w:rsidR="00733B5E" w:rsidRPr="00733B5E">
        <w:rPr>
          <w:rFonts w:cs="Arial"/>
          <w:iCs/>
          <w:sz w:val="22"/>
          <w:lang w:eastAsia="pl-PL"/>
        </w:rPr>
        <w:t>hulajnóg, wózków dziecięcych i zabawek</w:t>
      </w:r>
      <w:r w:rsidRPr="0025433D">
        <w:rPr>
          <w:rFonts w:cs="Arial"/>
          <w:iCs/>
          <w:sz w:val="22"/>
          <w:lang w:eastAsia="pl-PL"/>
        </w:rPr>
        <w:t>. Kontrole objęły ponadto sprzęty powszechnie używane w gospodarstwie domowym, m.in.: żarówki i oprawy oświetleniowe, drabiny, kosiarki, czy rękawice robocze.</w:t>
      </w:r>
    </w:p>
    <w:p w14:paraId="79256AFF" w14:textId="22D82A81" w:rsidR="00155FA5" w:rsidRPr="0025433D" w:rsidRDefault="00155FA5" w:rsidP="00155FA5">
      <w:pPr>
        <w:spacing w:after="240" w:line="360" w:lineRule="auto"/>
        <w:jc w:val="both"/>
        <w:rPr>
          <w:rFonts w:cs="Arial"/>
          <w:iCs/>
          <w:sz w:val="22"/>
          <w:lang w:eastAsia="pl-PL"/>
        </w:rPr>
      </w:pPr>
      <w:r w:rsidRPr="0025433D">
        <w:rPr>
          <w:rFonts w:cs="Arial"/>
          <w:iCs/>
          <w:sz w:val="22"/>
          <w:lang w:eastAsia="pl-PL"/>
        </w:rPr>
        <w:t xml:space="preserve">Największe zainteresowanie konsumentów wzbudziły raporty związane z zawartością niebezpiecznych związków chemicznych w produktach, z którymi codzienny kontakt ma każdy z nas. Inspekcja Handlowa sprawdziła, czy „między nami jest chemia” kontrolując </w:t>
      </w:r>
      <w:r w:rsidRPr="0025433D">
        <w:rPr>
          <w:rFonts w:cs="Arial"/>
          <w:bCs/>
          <w:color w:val="212529"/>
          <w:sz w:val="22"/>
          <w:shd w:val="clear" w:color="auto" w:fill="FFFFFF"/>
        </w:rPr>
        <w:t xml:space="preserve">165 partii pościeli, odzieży, obuwia, wyrobów galanteryjnych oraz zawartość niebezpiecznych substancji w ok. 500 </w:t>
      </w:r>
      <w:r w:rsidR="00CD44C9" w:rsidRPr="00CD44C9">
        <w:rPr>
          <w:rFonts w:cs="Arial"/>
          <w:bCs/>
          <w:color w:val="212529"/>
          <w:sz w:val="22"/>
          <w:shd w:val="clear" w:color="auto" w:fill="FFFFFF"/>
        </w:rPr>
        <w:t>artykułach</w:t>
      </w:r>
      <w:r w:rsidRPr="0025433D">
        <w:rPr>
          <w:rFonts w:cs="Arial"/>
          <w:bCs/>
          <w:color w:val="212529"/>
          <w:sz w:val="22"/>
          <w:shd w:val="clear" w:color="auto" w:fill="FFFFFF"/>
        </w:rPr>
        <w:t xml:space="preserve"> dla dzieci – </w:t>
      </w:r>
      <w:r w:rsidR="00CD44C9" w:rsidRPr="00CD44C9">
        <w:rPr>
          <w:rFonts w:cs="Arial"/>
          <w:bCs/>
          <w:color w:val="212529"/>
          <w:sz w:val="22"/>
          <w:shd w:val="clear" w:color="auto" w:fill="FFFFFF"/>
        </w:rPr>
        <w:t>zabawkach, wózkach, rowerkach, hulajnogach</w:t>
      </w:r>
      <w:r w:rsidRPr="0025433D">
        <w:rPr>
          <w:rFonts w:cs="Arial"/>
          <w:bCs/>
          <w:color w:val="212529"/>
          <w:sz w:val="22"/>
          <w:shd w:val="clear" w:color="auto" w:fill="FFFFFF"/>
        </w:rPr>
        <w:t>.</w:t>
      </w:r>
    </w:p>
    <w:p w14:paraId="66EA2A67" w14:textId="77777777" w:rsidR="00155FA5" w:rsidRPr="0025433D" w:rsidRDefault="00155FA5" w:rsidP="00155FA5">
      <w:pPr>
        <w:widowControl w:val="0"/>
        <w:tabs>
          <w:tab w:val="left" w:pos="-142"/>
        </w:tabs>
        <w:autoSpaceDE w:val="0"/>
        <w:autoSpaceDN w:val="0"/>
        <w:adjustRightInd w:val="0"/>
        <w:spacing w:after="240" w:line="360" w:lineRule="auto"/>
        <w:jc w:val="both"/>
        <w:rPr>
          <w:rFonts w:cs="Arial"/>
          <w:iCs/>
          <w:sz w:val="22"/>
          <w:lang w:eastAsia="pl-PL"/>
        </w:rPr>
      </w:pPr>
      <w:r w:rsidRPr="0025433D">
        <w:rPr>
          <w:rFonts w:cs="Arial"/>
          <w:iCs/>
          <w:sz w:val="22"/>
          <w:lang w:eastAsia="pl-PL"/>
        </w:rPr>
        <w:t xml:space="preserve">UOKiK jest odpowiedzialny również za zarządzanie systemem monitorowania i kontrolowania jakości paliw: IH w 2024 r. przeprowadziła łącznie 1886 kontroli benzyny, oleju napędowego, gazu LPG oraz 491 kontroli jakości paliw stałych. </w:t>
      </w:r>
    </w:p>
    <w:p w14:paraId="4069B0A6" w14:textId="77777777" w:rsidR="00155FA5" w:rsidRPr="0025433D" w:rsidRDefault="00155FA5" w:rsidP="00155FA5">
      <w:pPr>
        <w:spacing w:after="240" w:line="360" w:lineRule="auto"/>
        <w:jc w:val="both"/>
        <w:rPr>
          <w:b/>
          <w:sz w:val="22"/>
        </w:rPr>
      </w:pPr>
      <w:r w:rsidRPr="0025433D">
        <w:rPr>
          <w:b/>
          <w:sz w:val="22"/>
        </w:rPr>
        <w:t>Bezpieczeństwo produktów i nadzór rynku</w:t>
      </w:r>
    </w:p>
    <w:p w14:paraId="2B1DEA8A" w14:textId="5EB860B4" w:rsidR="00155FA5" w:rsidRDefault="00155FA5" w:rsidP="00F126FA">
      <w:pPr>
        <w:spacing w:after="240" w:line="360" w:lineRule="auto"/>
        <w:jc w:val="both"/>
        <w:rPr>
          <w:rFonts w:cs="Arial"/>
          <w:sz w:val="22"/>
          <w:lang w:eastAsia="pl-PL"/>
        </w:rPr>
      </w:pPr>
      <w:r w:rsidRPr="0025433D">
        <w:rPr>
          <w:sz w:val="22"/>
        </w:rPr>
        <w:t xml:space="preserve">Poza wynikami </w:t>
      </w:r>
      <w:r w:rsidRPr="0025433D">
        <w:rPr>
          <w:rFonts w:cs="Arial"/>
          <w:sz w:val="22"/>
          <w:lang w:eastAsia="pl-PL"/>
        </w:rPr>
        <w:t xml:space="preserve">kontroli Inspekcji Handlowej UOKiK analizuje sygnały od konsumentów oraz powiadomienia od organów nadzoru innych państw członkowskich UE w ramach unijnego systemu </w:t>
      </w:r>
      <w:hyperlink r:id="rId28" w:history="1">
        <w:r w:rsidRPr="0025433D">
          <w:rPr>
            <w:rStyle w:val="Hipercze"/>
            <w:rFonts w:cs="Arial"/>
            <w:sz w:val="22"/>
            <w:lang w:eastAsia="pl-PL"/>
          </w:rPr>
          <w:t>RAPEX</w:t>
        </w:r>
      </w:hyperlink>
      <w:r w:rsidRPr="0025433D">
        <w:rPr>
          <w:rFonts w:cs="Arial"/>
          <w:sz w:val="22"/>
          <w:lang w:eastAsia="pl-PL"/>
        </w:rPr>
        <w:t xml:space="preserve">. W efekcie Prezes UOKiK zainicjował 107 spraw z zakresu ogólnego bezpieczeństwa produktów, w tym 64 czynności </w:t>
      </w:r>
      <w:r w:rsidR="009A597E" w:rsidRPr="0025433D">
        <w:rPr>
          <w:rFonts w:cs="Arial"/>
          <w:sz w:val="22"/>
          <w:lang w:eastAsia="pl-PL"/>
        </w:rPr>
        <w:t>wyjaśniając</w:t>
      </w:r>
      <w:r w:rsidR="009A597E">
        <w:rPr>
          <w:rFonts w:cs="Arial"/>
          <w:sz w:val="22"/>
          <w:lang w:eastAsia="pl-PL"/>
        </w:rPr>
        <w:t>e</w:t>
      </w:r>
      <w:r w:rsidR="009A597E" w:rsidRPr="0025433D">
        <w:rPr>
          <w:rFonts w:cs="Arial"/>
          <w:sz w:val="22"/>
          <w:lang w:eastAsia="pl-PL"/>
        </w:rPr>
        <w:t xml:space="preserve"> </w:t>
      </w:r>
      <w:r w:rsidRPr="0025433D">
        <w:rPr>
          <w:rFonts w:cs="Arial"/>
          <w:sz w:val="22"/>
          <w:lang w:eastAsia="pl-PL"/>
        </w:rPr>
        <w:t xml:space="preserve">oraz 43 </w:t>
      </w:r>
      <w:r w:rsidR="009A597E" w:rsidRPr="0025433D">
        <w:rPr>
          <w:rFonts w:cs="Arial"/>
          <w:sz w:val="22"/>
          <w:lang w:eastAsia="pl-PL"/>
        </w:rPr>
        <w:t>postępowa</w:t>
      </w:r>
      <w:r w:rsidR="009A597E">
        <w:rPr>
          <w:rFonts w:cs="Arial"/>
          <w:sz w:val="22"/>
          <w:lang w:eastAsia="pl-PL"/>
        </w:rPr>
        <w:t>nia</w:t>
      </w:r>
      <w:r w:rsidR="009A597E" w:rsidRPr="0025433D">
        <w:rPr>
          <w:rFonts w:cs="Arial"/>
          <w:sz w:val="22"/>
          <w:lang w:eastAsia="pl-PL"/>
        </w:rPr>
        <w:t xml:space="preserve"> administracyjn</w:t>
      </w:r>
      <w:r w:rsidR="009A597E">
        <w:rPr>
          <w:rFonts w:cs="Arial"/>
          <w:sz w:val="22"/>
          <w:lang w:eastAsia="pl-PL"/>
        </w:rPr>
        <w:t>e</w:t>
      </w:r>
      <w:r w:rsidRPr="0025433D">
        <w:rPr>
          <w:rFonts w:cs="Arial"/>
          <w:sz w:val="22"/>
          <w:lang w:eastAsia="pl-PL"/>
        </w:rPr>
        <w:t xml:space="preserve">.  Ponadto </w:t>
      </w:r>
      <w:r w:rsidR="009A597E">
        <w:rPr>
          <w:rFonts w:cs="Arial"/>
          <w:sz w:val="22"/>
          <w:lang w:eastAsia="pl-PL"/>
        </w:rPr>
        <w:t>wszczą</w:t>
      </w:r>
      <w:r w:rsidR="009A597E" w:rsidRPr="0025433D">
        <w:rPr>
          <w:rFonts w:cs="Arial"/>
          <w:sz w:val="22"/>
          <w:lang w:eastAsia="pl-PL"/>
        </w:rPr>
        <w:t xml:space="preserve">ł </w:t>
      </w:r>
      <w:r w:rsidRPr="0025433D">
        <w:rPr>
          <w:rFonts w:cs="Arial"/>
          <w:sz w:val="22"/>
          <w:lang w:eastAsia="pl-PL"/>
        </w:rPr>
        <w:t xml:space="preserve">259 spraw z zakresu zgodności wyrobów z unijnymi </w:t>
      </w:r>
      <w:r w:rsidRPr="0025433D">
        <w:rPr>
          <w:rFonts w:cs="Arial"/>
          <w:sz w:val="22"/>
          <w:lang w:eastAsia="pl-PL"/>
        </w:rPr>
        <w:lastRenderedPageBreak/>
        <w:t>wymaganiami, w tym 72 czynności wyjaśniające oraz 187 postępowań administracyjnych. Do systemu Safety Gate/RAPEX UOKiK przekazał 170 zgłoszeń, które dotyczyły 1,7 mln sztuk produktów. Najwięcej zgłoszeń dotyczyło zabawek.</w:t>
      </w:r>
    </w:p>
    <w:p w14:paraId="00856478" w14:textId="7CFAB0A0" w:rsidR="00943B3D" w:rsidRPr="00B970DE" w:rsidRDefault="00A86095" w:rsidP="00943B3D">
      <w:pPr>
        <w:spacing w:after="240" w:line="360" w:lineRule="auto"/>
        <w:jc w:val="both"/>
        <w:rPr>
          <w:sz w:val="22"/>
        </w:rPr>
      </w:pPr>
      <w:hyperlink r:id="rId29" w:history="1">
        <w:r w:rsidR="00CC43E9">
          <w:rPr>
            <w:rStyle w:val="Hipercze"/>
            <w:sz w:val="22"/>
          </w:rPr>
          <w:t>Zeskanuj poniższy kod QR i zobacz wszystkie komunikaty prasowe z zakresu ochrony konsumentów.</w:t>
        </w:r>
      </w:hyperlink>
    </w:p>
    <w:p w14:paraId="6262B9F9" w14:textId="05C4BF52" w:rsidR="00943B3D" w:rsidRPr="0025433D" w:rsidRDefault="00EB422D" w:rsidP="00F126FA">
      <w:pPr>
        <w:spacing w:after="240" w:line="360" w:lineRule="auto"/>
        <w:jc w:val="both"/>
        <w:rPr>
          <w:rFonts w:cs="Arial"/>
          <w:sz w:val="22"/>
          <w:lang w:eastAsia="pl-PL"/>
        </w:rPr>
      </w:pPr>
      <w:r>
        <w:rPr>
          <w:noProof/>
          <w:sz w:val="22"/>
        </w:rPr>
        <w:drawing>
          <wp:inline distT="0" distB="0" distL="0" distR="0" wp14:anchorId="2227E1C2" wp14:editId="67EC5AF1">
            <wp:extent cx="3762000" cy="37620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000" cy="3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CA0FE9" w14:textId="77777777" w:rsidR="00020FEF" w:rsidRPr="0025433D" w:rsidRDefault="00020FEF" w:rsidP="00020FEF">
      <w:pPr>
        <w:spacing w:after="240" w:line="360" w:lineRule="auto"/>
        <w:jc w:val="both"/>
        <w:rPr>
          <w:rFonts w:cstheme="minorBidi"/>
          <w:b/>
          <w:sz w:val="22"/>
        </w:rPr>
      </w:pPr>
      <w:r w:rsidRPr="0025433D">
        <w:rPr>
          <w:b/>
          <w:sz w:val="22"/>
        </w:rPr>
        <w:t>Legislacja</w:t>
      </w:r>
    </w:p>
    <w:p w14:paraId="1F8B7ACA" w14:textId="77777777" w:rsidR="003E14A2" w:rsidRPr="0025433D" w:rsidRDefault="003E14A2" w:rsidP="00155FA5">
      <w:pPr>
        <w:spacing w:after="240" w:line="360" w:lineRule="auto"/>
        <w:jc w:val="both"/>
        <w:rPr>
          <w:rFonts w:eastAsiaTheme="minorHAnsi" w:cstheme="majorHAnsi"/>
          <w:bCs/>
          <w:sz w:val="22"/>
        </w:rPr>
      </w:pPr>
      <w:r w:rsidRPr="0025433D">
        <w:rPr>
          <w:rFonts w:eastAsiaTheme="minorHAnsi" w:cstheme="majorHAnsi"/>
          <w:bCs/>
          <w:sz w:val="22"/>
        </w:rPr>
        <w:t>W ubiegłym roku rozpoczęły się prace nad projektem ustawy o kredycie konsumenckim. Regulacja będzie nakładała na kredytodawców nowe obowiązki informacyjne przed zawarciem umowy kredytu, m.in. przedstawienia ogólnych informacji kredytowych. Wprowadzi także wymogi w zakresie reklamy i marketingu kredytów konsumenckich, w tym katalog informacji, które muszą się znaleźć w reklamie kredytu.</w:t>
      </w:r>
    </w:p>
    <w:p w14:paraId="713F31B4" w14:textId="45E3A39E" w:rsidR="00020FEF" w:rsidRPr="0025433D" w:rsidRDefault="003E14A2" w:rsidP="00155FA5">
      <w:pPr>
        <w:spacing w:after="240" w:line="360" w:lineRule="auto"/>
        <w:jc w:val="both"/>
        <w:rPr>
          <w:rFonts w:eastAsiaTheme="minorHAnsi" w:cstheme="majorHAnsi"/>
          <w:bCs/>
          <w:sz w:val="22"/>
        </w:rPr>
      </w:pPr>
      <w:r w:rsidRPr="0025433D">
        <w:rPr>
          <w:rFonts w:eastAsiaTheme="minorHAnsi" w:cstheme="majorHAnsi"/>
          <w:bCs/>
          <w:sz w:val="22"/>
        </w:rPr>
        <w:t xml:space="preserve">W grudniu weszły w życie </w:t>
      </w:r>
      <w:hyperlink r:id="rId31" w:history="1">
        <w:r w:rsidRPr="0025433D">
          <w:rPr>
            <w:rFonts w:eastAsiaTheme="minorHAnsi" w:cstheme="majorHAnsi"/>
            <w:bCs/>
            <w:color w:val="0563C1" w:themeColor="hyperlink"/>
            <w:sz w:val="22"/>
            <w:u w:val="single"/>
          </w:rPr>
          <w:t>przepisy</w:t>
        </w:r>
      </w:hyperlink>
      <w:r w:rsidRPr="0025433D">
        <w:rPr>
          <w:rFonts w:eastAsiaTheme="minorHAnsi" w:cstheme="majorHAnsi"/>
          <w:bCs/>
          <w:sz w:val="22"/>
        </w:rPr>
        <w:t>, które rozszerzają krąg podmiotów odpowiedzialnych za bezpieczeństwo produktów o platformy zakupowe online. Serwisy e-commerce są zobowiązane do monitorowania ofert i usuwania tych, które nie spełniają wymogów bezpieczeństwa.</w:t>
      </w:r>
    </w:p>
    <w:p w14:paraId="73DC5174" w14:textId="4BF91234" w:rsidR="00F126FA" w:rsidRPr="0025433D" w:rsidRDefault="00F126FA" w:rsidP="00F126FA">
      <w:pPr>
        <w:spacing w:after="240" w:line="360" w:lineRule="auto"/>
        <w:jc w:val="both"/>
        <w:rPr>
          <w:b/>
          <w:sz w:val="22"/>
        </w:rPr>
      </w:pPr>
      <w:r w:rsidRPr="0025433D">
        <w:rPr>
          <w:b/>
          <w:sz w:val="22"/>
        </w:rPr>
        <w:lastRenderedPageBreak/>
        <w:t>Współpraca międzynarodowa</w:t>
      </w:r>
    </w:p>
    <w:p w14:paraId="7760FE8B" w14:textId="5DA5946E" w:rsidR="007109DD" w:rsidRPr="0025433D" w:rsidRDefault="007109DD" w:rsidP="007109DD">
      <w:pPr>
        <w:spacing w:after="240" w:line="360" w:lineRule="auto"/>
        <w:rPr>
          <w:rFonts w:eastAsiaTheme="minorHAnsi" w:cs="Arial"/>
          <w:sz w:val="22"/>
        </w:rPr>
      </w:pPr>
      <w:r w:rsidRPr="0025433D">
        <w:rPr>
          <w:rFonts w:eastAsiaTheme="minorHAnsi" w:cs="Arial"/>
          <w:sz w:val="22"/>
        </w:rPr>
        <w:t xml:space="preserve">W listopadzie Prezes UOKiK został wybrany na członka Komitetu Konkurencji OECD na 2025 r. Komitet zrzesza ekspertów ds. konkurencji ze wszystkich krajów członkowskich i partnerskich OECD. </w:t>
      </w:r>
    </w:p>
    <w:p w14:paraId="71E37C5D" w14:textId="554D72AE" w:rsidR="00006C27" w:rsidRPr="0025433D" w:rsidRDefault="007109DD" w:rsidP="00B34E1F">
      <w:pPr>
        <w:spacing w:after="240" w:line="360" w:lineRule="auto"/>
        <w:jc w:val="both"/>
        <w:rPr>
          <w:rFonts w:eastAsia="Calibri"/>
          <w:color w:val="0070C0"/>
          <w:sz w:val="24"/>
          <w:szCs w:val="24"/>
        </w:rPr>
      </w:pPr>
      <w:r w:rsidRPr="0025433D">
        <w:rPr>
          <w:sz w:val="22"/>
        </w:rPr>
        <w:t xml:space="preserve">Ponadto </w:t>
      </w:r>
      <w:r w:rsidR="00006C27" w:rsidRPr="0025433D">
        <w:rPr>
          <w:rFonts w:eastAsia="Calibri"/>
          <w:sz w:val="22"/>
        </w:rPr>
        <w:t>UOKiK od wielu lat bierze aktywny udział w wydarzeniach o charakterze międzynarodowym.</w:t>
      </w:r>
      <w:r w:rsidR="00C03805" w:rsidRPr="0025433D">
        <w:rPr>
          <w:rFonts w:eastAsia="Calibri"/>
          <w:color w:val="0070C0"/>
          <w:sz w:val="24"/>
          <w:szCs w:val="24"/>
        </w:rPr>
        <w:t xml:space="preserve"> </w:t>
      </w:r>
      <w:r w:rsidR="00C03805" w:rsidRPr="0025433D">
        <w:rPr>
          <w:rFonts w:eastAsia="Calibri"/>
          <w:color w:val="000000" w:themeColor="text1"/>
          <w:sz w:val="22"/>
        </w:rPr>
        <w:t>O</w:t>
      </w:r>
      <w:r w:rsidR="00006C27" w:rsidRPr="0025433D">
        <w:rPr>
          <w:rFonts w:eastAsiaTheme="minorHAnsi" w:cs="Arial"/>
          <w:color w:val="000000" w:themeColor="text1"/>
          <w:sz w:val="22"/>
        </w:rPr>
        <w:t xml:space="preserve">d </w:t>
      </w:r>
      <w:r w:rsidR="00006C27" w:rsidRPr="0025433D">
        <w:rPr>
          <w:rFonts w:eastAsiaTheme="minorHAnsi" w:cs="Arial"/>
          <w:sz w:val="22"/>
        </w:rPr>
        <w:t xml:space="preserve">1 lipca 2023 r. do 30 czerwca 2024 r. UOKiK sprawował przewodnictwo w Międzynarodowej Sieci Ochrony Konsumentów (ICPEN), w ramach którego nadawał kierunek pracom sieci i inspirował globalne działania służące ochronie konsumentów. Urząd zorganizował dwie konferencje dla członków sieci ICPEN – pierwszą w Warszawie (4-6 października 2023 r.), a kolejną w Gdańsku (6-10 maja 2024 r.) wraz ze Spotkaniem Wysokiego Szczebla oraz Warsztatami Dobrych Praktyk. </w:t>
      </w:r>
    </w:p>
    <w:p w14:paraId="3F26F1F3" w14:textId="7CC43A2D" w:rsidR="000748FF" w:rsidRPr="0025433D" w:rsidRDefault="00006C27" w:rsidP="00B34E1F">
      <w:pPr>
        <w:spacing w:after="240" w:line="360" w:lineRule="auto"/>
        <w:jc w:val="both"/>
        <w:rPr>
          <w:rFonts w:eastAsia="Calibri" w:cs="Arial"/>
          <w:sz w:val="22"/>
        </w:rPr>
      </w:pPr>
      <w:r w:rsidRPr="0025433D">
        <w:rPr>
          <w:rFonts w:eastAsia="Calibri" w:cs="Arial"/>
          <w:sz w:val="22"/>
        </w:rPr>
        <w:t>U</w:t>
      </w:r>
      <w:r w:rsidR="003C0728" w:rsidRPr="0025433D">
        <w:rPr>
          <w:rFonts w:eastAsia="Calibri" w:cs="Arial"/>
          <w:sz w:val="22"/>
        </w:rPr>
        <w:t xml:space="preserve">rząd </w:t>
      </w:r>
      <w:r w:rsidRPr="0025433D">
        <w:rPr>
          <w:rFonts w:eastAsia="Calibri" w:cs="Arial"/>
          <w:sz w:val="22"/>
        </w:rPr>
        <w:t>realizował również projekt</w:t>
      </w:r>
      <w:r w:rsidR="007109DD" w:rsidRPr="0025433D">
        <w:rPr>
          <w:rFonts w:eastAsia="Calibri" w:cs="Arial"/>
          <w:sz w:val="22"/>
        </w:rPr>
        <w:t>y</w:t>
      </w:r>
      <w:r w:rsidRPr="0025433D">
        <w:rPr>
          <w:rFonts w:eastAsia="Calibri" w:cs="Arial"/>
          <w:sz w:val="22"/>
        </w:rPr>
        <w:t xml:space="preserve"> w </w:t>
      </w:r>
      <w:r w:rsidR="007109DD" w:rsidRPr="0025433D">
        <w:rPr>
          <w:rFonts w:eastAsia="Calibri" w:cs="Arial"/>
          <w:sz w:val="22"/>
        </w:rPr>
        <w:t xml:space="preserve">ramach inicjatyw </w:t>
      </w:r>
      <w:r w:rsidRPr="0025433D">
        <w:rPr>
          <w:rFonts w:eastAsia="Calibri" w:cs="Arial"/>
          <w:sz w:val="22"/>
        </w:rPr>
        <w:t xml:space="preserve">współpracy rozwojowej realizowanej </w:t>
      </w:r>
      <w:r w:rsidR="007109DD" w:rsidRPr="0025433D">
        <w:rPr>
          <w:rFonts w:eastAsia="Calibri" w:cs="Arial"/>
          <w:sz w:val="22"/>
        </w:rPr>
        <w:t>dla krajów kandydujących do UE lub rozwijających się. Programy realizowane były ze środków M</w:t>
      </w:r>
      <w:r w:rsidR="003C0728" w:rsidRPr="0025433D">
        <w:rPr>
          <w:rFonts w:eastAsia="Calibri" w:cs="Arial"/>
          <w:sz w:val="22"/>
        </w:rPr>
        <w:t xml:space="preserve">inisterstwa </w:t>
      </w:r>
      <w:r w:rsidR="007109DD" w:rsidRPr="0025433D">
        <w:rPr>
          <w:rFonts w:eastAsia="Calibri" w:cs="Arial"/>
          <w:sz w:val="22"/>
        </w:rPr>
        <w:t>S</w:t>
      </w:r>
      <w:r w:rsidR="003C0728" w:rsidRPr="0025433D">
        <w:rPr>
          <w:rFonts w:eastAsia="Calibri" w:cs="Arial"/>
          <w:sz w:val="22"/>
        </w:rPr>
        <w:t xml:space="preserve">praw </w:t>
      </w:r>
      <w:r w:rsidR="007109DD" w:rsidRPr="0025433D">
        <w:rPr>
          <w:rFonts w:eastAsia="Calibri" w:cs="Arial"/>
          <w:sz w:val="22"/>
        </w:rPr>
        <w:t>Z</w:t>
      </w:r>
      <w:r w:rsidR="003C0728" w:rsidRPr="0025433D">
        <w:rPr>
          <w:rFonts w:eastAsia="Calibri" w:cs="Arial"/>
          <w:sz w:val="22"/>
        </w:rPr>
        <w:t>agranicznych</w:t>
      </w:r>
      <w:r w:rsidR="007109DD" w:rsidRPr="0025433D">
        <w:rPr>
          <w:rFonts w:eastAsia="Calibri" w:cs="Arial"/>
          <w:sz w:val="22"/>
        </w:rPr>
        <w:t xml:space="preserve"> oraz Uni</w:t>
      </w:r>
      <w:r w:rsidR="003C0728" w:rsidRPr="0025433D">
        <w:rPr>
          <w:rFonts w:eastAsia="Calibri" w:cs="Arial"/>
          <w:sz w:val="22"/>
        </w:rPr>
        <w:t>i</w:t>
      </w:r>
      <w:r w:rsidR="007109DD" w:rsidRPr="0025433D">
        <w:rPr>
          <w:rFonts w:eastAsia="Calibri" w:cs="Arial"/>
          <w:sz w:val="22"/>
        </w:rPr>
        <w:t xml:space="preserve"> Europejsk</w:t>
      </w:r>
      <w:r w:rsidR="003C0728" w:rsidRPr="0025433D">
        <w:rPr>
          <w:rFonts w:eastAsia="Calibri" w:cs="Arial"/>
          <w:sz w:val="22"/>
        </w:rPr>
        <w:t>iej</w:t>
      </w:r>
      <w:r w:rsidR="007109DD" w:rsidRPr="0025433D">
        <w:rPr>
          <w:rFonts w:eastAsia="Calibri" w:cs="Arial"/>
          <w:sz w:val="22"/>
        </w:rPr>
        <w:t xml:space="preserve">. Beneficjentami działań UOKiK były </w:t>
      </w:r>
      <w:r w:rsidR="003C0728" w:rsidRPr="0025433D">
        <w:rPr>
          <w:rFonts w:eastAsia="Calibri" w:cs="Arial"/>
          <w:sz w:val="22"/>
        </w:rPr>
        <w:t>instytucje</w:t>
      </w:r>
      <w:r w:rsidR="007109DD" w:rsidRPr="0025433D">
        <w:rPr>
          <w:rFonts w:eastAsia="Calibri" w:cs="Arial"/>
          <w:sz w:val="22"/>
        </w:rPr>
        <w:t xml:space="preserve"> z Ukrainy, Mołdawii, Albanii, Gruzji oraz Kenii</w:t>
      </w:r>
      <w:r w:rsidR="003C0728" w:rsidRPr="0025433D">
        <w:rPr>
          <w:rFonts w:eastAsia="Calibri" w:cs="Arial"/>
          <w:sz w:val="22"/>
        </w:rPr>
        <w:t>.</w:t>
      </w:r>
    </w:p>
    <w:p w14:paraId="68966B42" w14:textId="073315C8" w:rsidR="00F126FA" w:rsidRPr="0025433D" w:rsidRDefault="00F126FA" w:rsidP="00F126FA">
      <w:pPr>
        <w:spacing w:after="240" w:line="360" w:lineRule="auto"/>
        <w:jc w:val="both"/>
        <w:rPr>
          <w:b/>
          <w:sz w:val="22"/>
        </w:rPr>
      </w:pPr>
      <w:r w:rsidRPr="0025433D">
        <w:rPr>
          <w:b/>
          <w:sz w:val="22"/>
        </w:rPr>
        <w:t>Edukacja</w:t>
      </w:r>
    </w:p>
    <w:p w14:paraId="224BA54B" w14:textId="3705A861" w:rsidR="007A4D6B" w:rsidRPr="007A4D6B" w:rsidRDefault="007A4D6B" w:rsidP="007A4D6B">
      <w:pPr>
        <w:spacing w:after="240" w:line="360" w:lineRule="auto"/>
        <w:jc w:val="both"/>
        <w:rPr>
          <w:rFonts w:eastAsiaTheme="minorHAnsi" w:cstheme="minorBidi"/>
          <w:sz w:val="22"/>
        </w:rPr>
      </w:pPr>
      <w:r w:rsidRPr="007A4D6B">
        <w:rPr>
          <w:rFonts w:eastAsiaTheme="minorHAnsi" w:cstheme="minorBidi"/>
          <w:sz w:val="22"/>
        </w:rPr>
        <w:t>2024 to kolejny rok pełen działań informacyjno-edukacyjnych UOKiK realizowanych poprzez serwisy www i social media, kampanie społeczne, publikacje, interaktywne narzędzia, konkursy, finansowanie projektów realizowanych przez organizacje konsumenckie oraz współpracę z mediami i instytucjami.</w:t>
      </w:r>
      <w:r w:rsidR="00893947">
        <w:rPr>
          <w:rFonts w:eastAsiaTheme="minorHAnsi" w:cstheme="minorBidi"/>
          <w:sz w:val="22"/>
        </w:rPr>
        <w:t xml:space="preserve"> </w:t>
      </w:r>
      <w:r w:rsidR="00A22C48">
        <w:rPr>
          <w:rFonts w:eastAsiaTheme="minorHAnsi" w:cstheme="minorBidi"/>
          <w:sz w:val="22"/>
        </w:rPr>
        <w:t>W czterech kanałach w social media</w:t>
      </w:r>
      <w:r w:rsidR="008506CA">
        <w:rPr>
          <w:rFonts w:eastAsiaTheme="minorHAnsi" w:cstheme="minorBidi"/>
          <w:sz w:val="22"/>
        </w:rPr>
        <w:t xml:space="preserve"> (</w:t>
      </w:r>
      <w:hyperlink r:id="rId32" w:history="1">
        <w:r w:rsidR="008506CA" w:rsidRPr="003B0FCD">
          <w:rPr>
            <w:rStyle w:val="Hipercze"/>
            <w:rFonts w:eastAsiaTheme="minorHAnsi" w:cstheme="minorBidi"/>
            <w:sz w:val="22"/>
          </w:rPr>
          <w:t>X</w:t>
        </w:r>
      </w:hyperlink>
      <w:r w:rsidR="008506CA">
        <w:rPr>
          <w:rFonts w:eastAsiaTheme="minorHAnsi" w:cstheme="minorBidi"/>
          <w:sz w:val="22"/>
        </w:rPr>
        <w:t xml:space="preserve">, </w:t>
      </w:r>
      <w:hyperlink r:id="rId33" w:history="1">
        <w:r w:rsidR="008506CA" w:rsidRPr="003B0FCD">
          <w:rPr>
            <w:rStyle w:val="Hipercze"/>
            <w:rFonts w:eastAsiaTheme="minorHAnsi" w:cstheme="minorBidi"/>
            <w:sz w:val="22"/>
          </w:rPr>
          <w:t>Instagram</w:t>
        </w:r>
      </w:hyperlink>
      <w:r w:rsidR="008506CA">
        <w:rPr>
          <w:rFonts w:eastAsiaTheme="minorHAnsi" w:cstheme="minorBidi"/>
          <w:sz w:val="22"/>
        </w:rPr>
        <w:t xml:space="preserve">, </w:t>
      </w:r>
      <w:r w:rsidR="00A22C48">
        <w:rPr>
          <w:rFonts w:eastAsiaTheme="minorHAnsi" w:cstheme="minorBidi"/>
          <w:sz w:val="22"/>
        </w:rPr>
        <w:t xml:space="preserve"> </w:t>
      </w:r>
      <w:hyperlink r:id="rId34" w:history="1">
        <w:r w:rsidR="003B0FCD" w:rsidRPr="003B0FCD">
          <w:rPr>
            <w:rStyle w:val="Hipercze"/>
            <w:rFonts w:eastAsiaTheme="minorHAnsi" w:cstheme="minorBidi"/>
            <w:sz w:val="22"/>
          </w:rPr>
          <w:t>Youtube</w:t>
        </w:r>
      </w:hyperlink>
      <w:r w:rsidR="003B0FCD">
        <w:rPr>
          <w:rFonts w:eastAsiaTheme="minorHAnsi" w:cstheme="minorBidi"/>
          <w:sz w:val="22"/>
        </w:rPr>
        <w:t xml:space="preserve">, </w:t>
      </w:r>
      <w:hyperlink r:id="rId35" w:history="1">
        <w:r w:rsidR="003B0FCD" w:rsidRPr="003B0FCD">
          <w:rPr>
            <w:rStyle w:val="Hipercze"/>
            <w:rFonts w:eastAsiaTheme="minorHAnsi" w:cstheme="minorBidi"/>
            <w:sz w:val="22"/>
          </w:rPr>
          <w:t>Facebook</w:t>
        </w:r>
      </w:hyperlink>
      <w:r w:rsidR="003B0FCD">
        <w:rPr>
          <w:rFonts w:eastAsiaTheme="minorHAnsi" w:cstheme="minorBidi"/>
          <w:sz w:val="22"/>
        </w:rPr>
        <w:t>)</w:t>
      </w:r>
      <w:r w:rsidR="00C6722B">
        <w:rPr>
          <w:rFonts w:eastAsiaTheme="minorHAnsi" w:cstheme="minorBidi"/>
          <w:sz w:val="22"/>
        </w:rPr>
        <w:t xml:space="preserve"> </w:t>
      </w:r>
      <w:r w:rsidR="00A22C48">
        <w:rPr>
          <w:rFonts w:eastAsiaTheme="minorHAnsi" w:cstheme="minorBidi"/>
          <w:sz w:val="22"/>
        </w:rPr>
        <w:t xml:space="preserve">Urząd miał 62 tys. obserwujących, a zamieszczane </w:t>
      </w:r>
      <w:r w:rsidR="005B6747">
        <w:rPr>
          <w:rFonts w:eastAsiaTheme="minorHAnsi" w:cstheme="minorBidi"/>
          <w:sz w:val="22"/>
        </w:rPr>
        <w:t>posty</w:t>
      </w:r>
      <w:r w:rsidR="00A22C48">
        <w:rPr>
          <w:rFonts w:eastAsiaTheme="minorHAnsi" w:cstheme="minorBidi"/>
          <w:sz w:val="22"/>
        </w:rPr>
        <w:t xml:space="preserve"> miały </w:t>
      </w:r>
      <w:r w:rsidR="003B0FCD">
        <w:rPr>
          <w:rFonts w:eastAsiaTheme="minorHAnsi" w:cstheme="minorBidi"/>
          <w:sz w:val="22"/>
        </w:rPr>
        <w:t xml:space="preserve">ok. </w:t>
      </w:r>
      <w:r w:rsidR="00A22C48">
        <w:rPr>
          <w:rFonts w:eastAsiaTheme="minorHAnsi" w:cstheme="minorBidi"/>
          <w:sz w:val="22"/>
        </w:rPr>
        <w:t>milion</w:t>
      </w:r>
      <w:r w:rsidR="003B0FCD">
        <w:rPr>
          <w:rFonts w:eastAsiaTheme="minorHAnsi" w:cstheme="minorBidi"/>
          <w:sz w:val="22"/>
        </w:rPr>
        <w:t>a</w:t>
      </w:r>
      <w:r w:rsidR="00A22C48">
        <w:rPr>
          <w:rFonts w:eastAsiaTheme="minorHAnsi" w:cstheme="minorBidi"/>
          <w:sz w:val="22"/>
        </w:rPr>
        <w:t xml:space="preserve"> wyświetleń</w:t>
      </w:r>
      <w:r w:rsidR="008506CA">
        <w:rPr>
          <w:rFonts w:eastAsiaTheme="minorHAnsi" w:cstheme="minorBidi"/>
          <w:sz w:val="22"/>
        </w:rPr>
        <w:t>.</w:t>
      </w:r>
    </w:p>
    <w:p w14:paraId="64604082" w14:textId="343C2737" w:rsidR="00A22C48" w:rsidRPr="007A4D6B" w:rsidRDefault="007A4D6B" w:rsidP="007A4D6B">
      <w:pPr>
        <w:spacing w:after="240" w:line="360" w:lineRule="auto"/>
        <w:jc w:val="both"/>
        <w:rPr>
          <w:rFonts w:eastAsiaTheme="minorHAnsi" w:cstheme="minorBidi"/>
          <w:sz w:val="22"/>
        </w:rPr>
      </w:pPr>
      <w:r w:rsidRPr="007A4D6B">
        <w:rPr>
          <w:rFonts w:eastAsiaTheme="minorHAnsi" w:cstheme="minorBidi"/>
          <w:sz w:val="22"/>
        </w:rPr>
        <w:t>Rok 2024 to 165 komunikatów prasowych i ponad 80 tys. publikacji o UOKiK w mediach, ponad 12 mln odsłon serwisów UOKiK – nowej strony uokik.gov.pl, serwisów tematycznych, mapy paliw oraz kalkulatorów online</w:t>
      </w:r>
      <w:r w:rsidR="00F720D3">
        <w:rPr>
          <w:rFonts w:eastAsiaTheme="minorHAnsi" w:cstheme="minorBidi"/>
          <w:sz w:val="22"/>
        </w:rPr>
        <w:t>, m.in.</w:t>
      </w:r>
      <w:r w:rsidRPr="007A4D6B">
        <w:rPr>
          <w:rFonts w:eastAsiaTheme="minorHAnsi" w:cstheme="minorBidi"/>
          <w:sz w:val="22"/>
        </w:rPr>
        <w:t xml:space="preserve"> oprocentowania kredytu hipotecznego</w:t>
      </w:r>
      <w:r w:rsidR="00F720D3">
        <w:rPr>
          <w:rFonts w:eastAsiaTheme="minorHAnsi" w:cstheme="minorBidi"/>
          <w:sz w:val="22"/>
        </w:rPr>
        <w:t xml:space="preserve"> i</w:t>
      </w:r>
      <w:r w:rsidRPr="007A4D6B">
        <w:rPr>
          <w:rFonts w:eastAsiaTheme="minorHAnsi" w:cstheme="minorBidi"/>
          <w:sz w:val="22"/>
        </w:rPr>
        <w:t xml:space="preserve"> zwrotu z tytułu wcześniejszej</w:t>
      </w:r>
      <w:r w:rsidR="00F720D3">
        <w:rPr>
          <w:rFonts w:eastAsiaTheme="minorHAnsi" w:cstheme="minorBidi"/>
          <w:sz w:val="22"/>
        </w:rPr>
        <w:t xml:space="preserve"> spłaty kredytu</w:t>
      </w:r>
      <w:r w:rsidRPr="007A4D6B">
        <w:rPr>
          <w:rFonts w:eastAsiaTheme="minorHAnsi" w:cstheme="minorBidi"/>
          <w:sz w:val="22"/>
        </w:rPr>
        <w:t>.</w:t>
      </w:r>
    </w:p>
    <w:p w14:paraId="663C7380" w14:textId="29BF20CF" w:rsidR="007A4D6B" w:rsidRPr="007A4D6B" w:rsidRDefault="00EE6BC9" w:rsidP="00CA2E83">
      <w:pPr>
        <w:spacing w:after="240" w:line="360" w:lineRule="auto"/>
        <w:jc w:val="both"/>
        <w:rPr>
          <w:rFonts w:eastAsiaTheme="minorHAnsi" w:cstheme="minorBidi"/>
          <w:sz w:val="22"/>
        </w:rPr>
      </w:pPr>
      <w:r>
        <w:rPr>
          <w:rFonts w:eastAsiaTheme="minorHAnsi" w:cstheme="minorBidi"/>
          <w:sz w:val="22"/>
        </w:rPr>
        <w:t xml:space="preserve">Prezes </w:t>
      </w:r>
      <w:r w:rsidR="007A4D6B" w:rsidRPr="007A4D6B">
        <w:rPr>
          <w:rFonts w:eastAsiaTheme="minorHAnsi" w:cstheme="minorBidi"/>
          <w:sz w:val="22"/>
        </w:rPr>
        <w:t xml:space="preserve">UOKiK przeprowadził dwie </w:t>
      </w:r>
      <w:hyperlink r:id="rId36" w:history="1">
        <w:r w:rsidR="00916117" w:rsidRPr="0025433D">
          <w:rPr>
            <w:rFonts w:eastAsiaTheme="minorHAnsi" w:cstheme="minorBidi"/>
            <w:color w:val="0563C1" w:themeColor="hyperlink"/>
            <w:sz w:val="22"/>
            <w:u w:val="single"/>
          </w:rPr>
          <w:t>kampanie społeczne</w:t>
        </w:r>
      </w:hyperlink>
      <w:r w:rsidR="007A4D6B" w:rsidRPr="007A4D6B">
        <w:rPr>
          <w:rFonts w:eastAsiaTheme="minorHAnsi" w:cstheme="minorBidi"/>
          <w:sz w:val="22"/>
        </w:rPr>
        <w:t xml:space="preserve"> „Sprawdź, czy Cię stać!”</w:t>
      </w:r>
      <w:r w:rsidR="00A22C48">
        <w:rPr>
          <w:rFonts w:eastAsiaTheme="minorHAnsi" w:cstheme="minorBidi"/>
          <w:sz w:val="22"/>
        </w:rPr>
        <w:t xml:space="preserve"> z viralowym spotem</w:t>
      </w:r>
      <w:r w:rsidR="007A4D6B" w:rsidRPr="007A4D6B">
        <w:rPr>
          <w:rFonts w:eastAsiaTheme="minorHAnsi" w:cstheme="minorBidi"/>
          <w:sz w:val="22"/>
        </w:rPr>
        <w:t xml:space="preserve"> i „Inwestujesz? Daj sobie czas. Sprawdzaj, czytaj, pytaj!”, wsparte przez 400 partnerów. Urząd przyznał również  800 tys. zł dotacji na 2 projekty edukacyjne dla młodych </w:t>
      </w:r>
      <w:r w:rsidR="007A4D6B" w:rsidRPr="007A4D6B">
        <w:rPr>
          <w:rFonts w:eastAsiaTheme="minorHAnsi" w:cstheme="minorBidi"/>
          <w:sz w:val="22"/>
        </w:rPr>
        <w:lastRenderedPageBreak/>
        <w:t xml:space="preserve">konsumentów w latach 2024–2025 realizowane przez wyłonione w </w:t>
      </w:r>
      <w:hyperlink r:id="rId37" w:history="1">
        <w:r w:rsidR="00916117" w:rsidRPr="0025433D">
          <w:rPr>
            <w:rFonts w:eastAsiaTheme="minorHAnsi" w:cstheme="minorBidi"/>
            <w:color w:val="0563C1" w:themeColor="hyperlink"/>
            <w:sz w:val="22"/>
            <w:u w:val="single"/>
          </w:rPr>
          <w:t>konkursie</w:t>
        </w:r>
      </w:hyperlink>
      <w:r w:rsidR="007A4D6B" w:rsidRPr="007A4D6B">
        <w:rPr>
          <w:rFonts w:eastAsiaTheme="minorHAnsi" w:cstheme="minorBidi"/>
          <w:sz w:val="22"/>
        </w:rPr>
        <w:t xml:space="preserve"> </w:t>
      </w:r>
      <w:r w:rsidR="00DE1A9A">
        <w:rPr>
          <w:rFonts w:eastAsiaTheme="minorHAnsi" w:cstheme="minorBidi"/>
          <w:sz w:val="22"/>
        </w:rPr>
        <w:t xml:space="preserve">dla </w:t>
      </w:r>
      <w:r w:rsidR="007A4D6B" w:rsidRPr="007A4D6B">
        <w:rPr>
          <w:rFonts w:eastAsiaTheme="minorHAnsi" w:cstheme="minorBidi"/>
          <w:sz w:val="22"/>
        </w:rPr>
        <w:t>organizacji pozarządowych</w:t>
      </w:r>
      <w:r w:rsidR="007A4D6B" w:rsidRPr="0025433D">
        <w:rPr>
          <w:rFonts w:eastAsiaTheme="minorHAnsi" w:cstheme="minorBidi"/>
          <w:sz w:val="22"/>
        </w:rPr>
        <w:t>.</w:t>
      </w:r>
    </w:p>
    <w:p w14:paraId="37F813E1" w14:textId="6F7B5102" w:rsidR="00826383" w:rsidRPr="00943B3D" w:rsidRDefault="008506CA" w:rsidP="00487235">
      <w:pPr>
        <w:spacing w:after="240" w:line="360" w:lineRule="auto"/>
        <w:rPr>
          <w:sz w:val="22"/>
        </w:rPr>
      </w:pPr>
      <w:r w:rsidRPr="00A86095">
        <w:rPr>
          <w:rFonts w:cs="Arial"/>
          <w:color w:val="000000"/>
          <w:sz w:val="22"/>
        </w:rPr>
        <w:t xml:space="preserve">Ponadto </w:t>
      </w:r>
      <w:r w:rsidR="00EE6BC9" w:rsidRPr="00A86095">
        <w:rPr>
          <w:rFonts w:cs="Arial"/>
          <w:color w:val="000000"/>
          <w:sz w:val="22"/>
        </w:rPr>
        <w:t xml:space="preserve">Prezes </w:t>
      </w:r>
      <w:r w:rsidRPr="00A86095">
        <w:rPr>
          <w:rFonts w:cs="Arial"/>
          <w:color w:val="000000"/>
          <w:sz w:val="22"/>
        </w:rPr>
        <w:t>UOKiK przeprowadził dw</w:t>
      </w:r>
      <w:r w:rsidR="00523B37" w:rsidRPr="00A86095">
        <w:rPr>
          <w:rFonts w:cs="Arial"/>
          <w:color w:val="000000"/>
          <w:sz w:val="22"/>
        </w:rPr>
        <w:t>ie inicjatywy dla</w:t>
      </w:r>
      <w:r w:rsidR="00733B5E" w:rsidRPr="00A86095">
        <w:rPr>
          <w:rFonts w:cs="Arial"/>
          <w:color w:val="000000"/>
          <w:sz w:val="22"/>
        </w:rPr>
        <w:t xml:space="preserve"> </w:t>
      </w:r>
      <w:r w:rsidRPr="00A86095">
        <w:rPr>
          <w:rFonts w:cs="Arial"/>
          <w:color w:val="000000"/>
          <w:sz w:val="22"/>
        </w:rPr>
        <w:t xml:space="preserve">studentów: </w:t>
      </w:r>
      <w:hyperlink r:id="rId38" w:history="1">
        <w:r w:rsidRPr="00A86095">
          <w:rPr>
            <w:rStyle w:val="Hipercze"/>
            <w:sz w:val="22"/>
          </w:rPr>
          <w:t>konkurs</w:t>
        </w:r>
        <w:r w:rsidR="003B0FCD" w:rsidRPr="00A86095">
          <w:rPr>
            <w:rStyle w:val="Hipercze"/>
            <w:sz w:val="22"/>
          </w:rPr>
          <w:t xml:space="preserve"> na najlepsz</w:t>
        </w:r>
        <w:r w:rsidR="00C6722B" w:rsidRPr="00A86095">
          <w:rPr>
            <w:rStyle w:val="Hipercze"/>
            <w:sz w:val="22"/>
          </w:rPr>
          <w:t>ą</w:t>
        </w:r>
        <w:r w:rsidR="003B0FCD" w:rsidRPr="00A86095">
          <w:rPr>
            <w:rStyle w:val="Hipercze"/>
            <w:sz w:val="22"/>
          </w:rPr>
          <w:t xml:space="preserve"> pracę magisterską</w:t>
        </w:r>
      </w:hyperlink>
      <w:r w:rsidR="003B0FCD" w:rsidRPr="00A86095">
        <w:rPr>
          <w:sz w:val="22"/>
        </w:rPr>
        <w:t xml:space="preserve"> oraz warsztaty </w:t>
      </w:r>
      <w:hyperlink r:id="rId39" w:history="1">
        <w:r w:rsidR="003B0FCD" w:rsidRPr="00A86095">
          <w:rPr>
            <w:rStyle w:val="Hipercze"/>
            <w:sz w:val="22"/>
          </w:rPr>
          <w:t>S</w:t>
        </w:r>
        <w:r w:rsidRPr="00A86095">
          <w:rPr>
            <w:rStyle w:val="Hipercze"/>
            <w:sz w:val="22"/>
          </w:rPr>
          <w:t>ummer Camp UOKiK ’24</w:t>
        </w:r>
        <w:r w:rsidR="00C6722B" w:rsidRPr="00A86095">
          <w:rPr>
            <w:rStyle w:val="Hipercze"/>
            <w:sz w:val="22"/>
          </w:rPr>
          <w:t>.</w:t>
        </w:r>
      </w:hyperlink>
      <w:r w:rsidR="00C6722B" w:rsidRPr="00C6722B">
        <w:rPr>
          <w:sz w:val="22"/>
        </w:rPr>
        <w:t xml:space="preserve"> </w:t>
      </w:r>
    </w:p>
    <w:p w14:paraId="27E348A4" w14:textId="318A68EC" w:rsidR="00826383" w:rsidRPr="00487235" w:rsidRDefault="00A86095" w:rsidP="00487235">
      <w:pPr>
        <w:spacing w:after="240" w:line="360" w:lineRule="auto"/>
        <w:rPr>
          <w:rFonts w:asciiTheme="minorHAnsi" w:hAnsiTheme="minorHAnsi"/>
          <w:sz w:val="22"/>
        </w:rPr>
      </w:pPr>
      <w:hyperlink r:id="rId40" w:history="1">
        <w:r w:rsidR="00943B3D" w:rsidRPr="009A14B7">
          <w:rPr>
            <w:rStyle w:val="Hipercze"/>
            <w:sz w:val="22"/>
          </w:rPr>
          <w:t>Zobacz k</w:t>
        </w:r>
        <w:r w:rsidR="0047268C" w:rsidRPr="009A14B7">
          <w:rPr>
            <w:rStyle w:val="Hipercze"/>
            <w:sz w:val="22"/>
          </w:rPr>
          <w:t xml:space="preserve">luczowe informacje i </w:t>
        </w:r>
        <w:r w:rsidR="00826383" w:rsidRPr="009A14B7">
          <w:rPr>
            <w:rStyle w:val="Hipercze"/>
            <w:sz w:val="22"/>
          </w:rPr>
          <w:t>dan</w:t>
        </w:r>
        <w:r w:rsidR="0047268C" w:rsidRPr="009A14B7">
          <w:rPr>
            <w:rStyle w:val="Hipercze"/>
            <w:sz w:val="22"/>
          </w:rPr>
          <w:t>e liczbowe</w:t>
        </w:r>
        <w:r w:rsidR="00826383" w:rsidRPr="009A14B7">
          <w:rPr>
            <w:rStyle w:val="Hipercze"/>
            <w:sz w:val="22"/>
          </w:rPr>
          <w:t xml:space="preserve"> </w:t>
        </w:r>
        <w:r w:rsidR="00943B3D" w:rsidRPr="009A14B7">
          <w:rPr>
            <w:rStyle w:val="Hipercze"/>
            <w:sz w:val="22"/>
          </w:rPr>
          <w:t>dotyczące UOKiK w 2024 r.</w:t>
        </w:r>
      </w:hyperlink>
    </w:p>
    <w:sectPr w:rsidR="00826383" w:rsidRPr="00487235" w:rsidSect="00D611B4">
      <w:headerReference w:type="default" r:id="rId41"/>
      <w:footerReference w:type="default" r:id="rId42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A3299" w14:textId="77777777" w:rsidR="0026572E" w:rsidRDefault="0026572E" w:rsidP="002F3CE9">
      <w:r>
        <w:separator/>
      </w:r>
    </w:p>
  </w:endnote>
  <w:endnote w:type="continuationSeparator" w:id="0">
    <w:p w14:paraId="757D89C4" w14:textId="77777777" w:rsidR="0026572E" w:rsidRDefault="0026572E" w:rsidP="002F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9BC91" w14:textId="77777777" w:rsidR="00D611B4" w:rsidRPr="00B512B5" w:rsidRDefault="00B7786B" w:rsidP="00D611B4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C70457" wp14:editId="78FE417D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603042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>WWW.UOKiK.GOV.PL</w:t>
    </w:r>
    <w:r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>TELEFON 22 55 60 246</w:t>
    </w:r>
    <w:r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</w:rPr>
      <w:t xml:space="preserve">TELEFON KOM. </w:t>
    </w:r>
    <w:r w:rsidRPr="00955696">
      <w:rPr>
        <w:rFonts w:asciiTheme="minorHAnsi" w:hAnsiTheme="minorHAnsi" w:cstheme="minorHAnsi"/>
        <w:color w:val="595959" w:themeColor="text1" w:themeTint="A6"/>
        <w:sz w:val="16"/>
        <w:szCs w:val="16"/>
      </w:rPr>
      <w:t>603 124 154</w:t>
    </w:r>
  </w:p>
  <w:p w14:paraId="3BF3F618" w14:textId="77777777" w:rsidR="00D611B4" w:rsidRPr="00B512B5" w:rsidRDefault="00B7786B" w:rsidP="00D611B4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C4CEF" w14:textId="77777777" w:rsidR="0026572E" w:rsidRDefault="0026572E" w:rsidP="002F3CE9">
      <w:r>
        <w:separator/>
      </w:r>
    </w:p>
  </w:footnote>
  <w:footnote w:type="continuationSeparator" w:id="0">
    <w:p w14:paraId="093435D0" w14:textId="77777777" w:rsidR="0026572E" w:rsidRDefault="0026572E" w:rsidP="002F3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A8243" w14:textId="77777777" w:rsidR="00D611B4" w:rsidRDefault="00B7786B" w:rsidP="00D611B4">
    <w:pPr>
      <w:pStyle w:val="Nagwek"/>
      <w:tabs>
        <w:tab w:val="clear" w:pos="9072"/>
      </w:tabs>
    </w:pPr>
    <w:r>
      <w:rPr>
        <w:noProof/>
        <w:lang w:eastAsia="pl-PL"/>
      </w:rPr>
      <w:drawing>
        <wp:inline distT="0" distB="0" distL="0" distR="0" wp14:anchorId="7BFDF892" wp14:editId="593600BC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B5253"/>
    <w:multiLevelType w:val="multilevel"/>
    <w:tmpl w:val="1BA0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A00524"/>
    <w:multiLevelType w:val="hybridMultilevel"/>
    <w:tmpl w:val="B0121A32"/>
    <w:lvl w:ilvl="0" w:tplc="3070998A">
      <w:start w:val="1"/>
      <w:numFmt w:val="decimal"/>
      <w:pStyle w:val="TekstNB"/>
      <w:lvlText w:val="(%1)"/>
      <w:lvlJc w:val="left"/>
      <w:pPr>
        <w:ind w:left="851" w:hanging="851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46D18"/>
    <w:multiLevelType w:val="hybridMultilevel"/>
    <w:tmpl w:val="2AE87646"/>
    <w:lvl w:ilvl="0" w:tplc="5CD00362">
      <w:start w:val="5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C4083"/>
    <w:multiLevelType w:val="hybridMultilevel"/>
    <w:tmpl w:val="4CB093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5B293C"/>
    <w:multiLevelType w:val="hybridMultilevel"/>
    <w:tmpl w:val="3782094C"/>
    <w:lvl w:ilvl="0" w:tplc="113A4868">
      <w:numFmt w:val="bullet"/>
      <w:lvlText w:val="•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13D89"/>
    <w:multiLevelType w:val="hybridMultilevel"/>
    <w:tmpl w:val="D24425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45360"/>
    <w:multiLevelType w:val="hybridMultilevel"/>
    <w:tmpl w:val="91B0A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603D8"/>
    <w:multiLevelType w:val="hybridMultilevel"/>
    <w:tmpl w:val="3E440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CE9"/>
    <w:rsid w:val="000021ED"/>
    <w:rsid w:val="00006C27"/>
    <w:rsid w:val="00020FEF"/>
    <w:rsid w:val="00043F21"/>
    <w:rsid w:val="00095379"/>
    <w:rsid w:val="000B12EC"/>
    <w:rsid w:val="00121E9E"/>
    <w:rsid w:val="00126310"/>
    <w:rsid w:val="00145FC4"/>
    <w:rsid w:val="00153C9F"/>
    <w:rsid w:val="00155FA5"/>
    <w:rsid w:val="0016186D"/>
    <w:rsid w:val="001774C1"/>
    <w:rsid w:val="00186E22"/>
    <w:rsid w:val="00196D91"/>
    <w:rsid w:val="001C7FD6"/>
    <w:rsid w:val="001E3D48"/>
    <w:rsid w:val="001F192C"/>
    <w:rsid w:val="001F2D3A"/>
    <w:rsid w:val="00201E8F"/>
    <w:rsid w:val="00212576"/>
    <w:rsid w:val="0021502D"/>
    <w:rsid w:val="0025433D"/>
    <w:rsid w:val="002563CF"/>
    <w:rsid w:val="0026572E"/>
    <w:rsid w:val="00285AD1"/>
    <w:rsid w:val="00286B7D"/>
    <w:rsid w:val="002948D5"/>
    <w:rsid w:val="002A4051"/>
    <w:rsid w:val="002A41A2"/>
    <w:rsid w:val="002B323D"/>
    <w:rsid w:val="002C1C51"/>
    <w:rsid w:val="002D2820"/>
    <w:rsid w:val="002D3D0A"/>
    <w:rsid w:val="002D7F50"/>
    <w:rsid w:val="002E4C93"/>
    <w:rsid w:val="002F211B"/>
    <w:rsid w:val="002F3CE9"/>
    <w:rsid w:val="00311049"/>
    <w:rsid w:val="003230F6"/>
    <w:rsid w:val="003329F3"/>
    <w:rsid w:val="003521A7"/>
    <w:rsid w:val="003622C8"/>
    <w:rsid w:val="00362EE5"/>
    <w:rsid w:val="00363682"/>
    <w:rsid w:val="00366A74"/>
    <w:rsid w:val="003B0FCD"/>
    <w:rsid w:val="003B387C"/>
    <w:rsid w:val="003B4B11"/>
    <w:rsid w:val="003C0728"/>
    <w:rsid w:val="003E14A2"/>
    <w:rsid w:val="004039FB"/>
    <w:rsid w:val="004154CE"/>
    <w:rsid w:val="00416AA3"/>
    <w:rsid w:val="0042544B"/>
    <w:rsid w:val="00432FDF"/>
    <w:rsid w:val="00434DAE"/>
    <w:rsid w:val="00435E2F"/>
    <w:rsid w:val="0045441E"/>
    <w:rsid w:val="004631D5"/>
    <w:rsid w:val="00471E96"/>
    <w:rsid w:val="0047268C"/>
    <w:rsid w:val="00486292"/>
    <w:rsid w:val="00487235"/>
    <w:rsid w:val="004A578B"/>
    <w:rsid w:val="004B3C50"/>
    <w:rsid w:val="0050093E"/>
    <w:rsid w:val="00501725"/>
    <w:rsid w:val="005150C8"/>
    <w:rsid w:val="00520AA9"/>
    <w:rsid w:val="00523B37"/>
    <w:rsid w:val="00525BF6"/>
    <w:rsid w:val="00563FFE"/>
    <w:rsid w:val="005814A5"/>
    <w:rsid w:val="0058787F"/>
    <w:rsid w:val="005A4A56"/>
    <w:rsid w:val="005A4C49"/>
    <w:rsid w:val="005A7017"/>
    <w:rsid w:val="005B6747"/>
    <w:rsid w:val="005C4EEB"/>
    <w:rsid w:val="005E2EF6"/>
    <w:rsid w:val="005F0337"/>
    <w:rsid w:val="005F265B"/>
    <w:rsid w:val="006032A1"/>
    <w:rsid w:val="00615437"/>
    <w:rsid w:val="00626CC5"/>
    <w:rsid w:val="00631BC0"/>
    <w:rsid w:val="00633BDF"/>
    <w:rsid w:val="00667FB4"/>
    <w:rsid w:val="00697112"/>
    <w:rsid w:val="006D7841"/>
    <w:rsid w:val="006E42B1"/>
    <w:rsid w:val="007074FF"/>
    <w:rsid w:val="007109DD"/>
    <w:rsid w:val="007118C2"/>
    <w:rsid w:val="00722A98"/>
    <w:rsid w:val="00725ADD"/>
    <w:rsid w:val="00733B5E"/>
    <w:rsid w:val="0075139D"/>
    <w:rsid w:val="00752964"/>
    <w:rsid w:val="00792ABB"/>
    <w:rsid w:val="007A002C"/>
    <w:rsid w:val="007A0910"/>
    <w:rsid w:val="007A3226"/>
    <w:rsid w:val="007A4D6B"/>
    <w:rsid w:val="007C5E2A"/>
    <w:rsid w:val="007E1F93"/>
    <w:rsid w:val="007F1B98"/>
    <w:rsid w:val="00820ABA"/>
    <w:rsid w:val="00826383"/>
    <w:rsid w:val="008303AB"/>
    <w:rsid w:val="008506CA"/>
    <w:rsid w:val="00893947"/>
    <w:rsid w:val="008C1D64"/>
    <w:rsid w:val="008E6E83"/>
    <w:rsid w:val="008F66D5"/>
    <w:rsid w:val="008F7F4A"/>
    <w:rsid w:val="0090343C"/>
    <w:rsid w:val="00910F6C"/>
    <w:rsid w:val="0091570B"/>
    <w:rsid w:val="00916117"/>
    <w:rsid w:val="0092248C"/>
    <w:rsid w:val="00934D99"/>
    <w:rsid w:val="00943B3D"/>
    <w:rsid w:val="00954ABD"/>
    <w:rsid w:val="00960FC8"/>
    <w:rsid w:val="009722D3"/>
    <w:rsid w:val="009A14B7"/>
    <w:rsid w:val="009A210F"/>
    <w:rsid w:val="009A597E"/>
    <w:rsid w:val="009A68FF"/>
    <w:rsid w:val="009B0ECA"/>
    <w:rsid w:val="009F7900"/>
    <w:rsid w:val="00A129C5"/>
    <w:rsid w:val="00A22C48"/>
    <w:rsid w:val="00A24670"/>
    <w:rsid w:val="00A30B7B"/>
    <w:rsid w:val="00A51827"/>
    <w:rsid w:val="00A53CEB"/>
    <w:rsid w:val="00A711CC"/>
    <w:rsid w:val="00A86095"/>
    <w:rsid w:val="00A93C9D"/>
    <w:rsid w:val="00AA799C"/>
    <w:rsid w:val="00AB2614"/>
    <w:rsid w:val="00AB3C85"/>
    <w:rsid w:val="00AC0B93"/>
    <w:rsid w:val="00AD7DE3"/>
    <w:rsid w:val="00AE7E38"/>
    <w:rsid w:val="00B14E20"/>
    <w:rsid w:val="00B31E41"/>
    <w:rsid w:val="00B34661"/>
    <w:rsid w:val="00B34E1F"/>
    <w:rsid w:val="00B7786B"/>
    <w:rsid w:val="00B93261"/>
    <w:rsid w:val="00B93A14"/>
    <w:rsid w:val="00B9638D"/>
    <w:rsid w:val="00B970DE"/>
    <w:rsid w:val="00BA0315"/>
    <w:rsid w:val="00BB4F2E"/>
    <w:rsid w:val="00BC6BBA"/>
    <w:rsid w:val="00BF2933"/>
    <w:rsid w:val="00BF75B7"/>
    <w:rsid w:val="00C03805"/>
    <w:rsid w:val="00C25EA3"/>
    <w:rsid w:val="00C31F43"/>
    <w:rsid w:val="00C33D40"/>
    <w:rsid w:val="00C6722B"/>
    <w:rsid w:val="00C81AE9"/>
    <w:rsid w:val="00C83C28"/>
    <w:rsid w:val="00C957E8"/>
    <w:rsid w:val="00CA2E83"/>
    <w:rsid w:val="00CA6A63"/>
    <w:rsid w:val="00CA6EE8"/>
    <w:rsid w:val="00CC247A"/>
    <w:rsid w:val="00CC2A8C"/>
    <w:rsid w:val="00CC43E9"/>
    <w:rsid w:val="00CD44C9"/>
    <w:rsid w:val="00CF20C2"/>
    <w:rsid w:val="00CF3C72"/>
    <w:rsid w:val="00CF696D"/>
    <w:rsid w:val="00D05ABB"/>
    <w:rsid w:val="00D535D9"/>
    <w:rsid w:val="00D611B4"/>
    <w:rsid w:val="00D679F4"/>
    <w:rsid w:val="00DB34F6"/>
    <w:rsid w:val="00DB4270"/>
    <w:rsid w:val="00DC1B47"/>
    <w:rsid w:val="00DD3E69"/>
    <w:rsid w:val="00DD7B11"/>
    <w:rsid w:val="00DE1A9A"/>
    <w:rsid w:val="00DE2DCB"/>
    <w:rsid w:val="00E07838"/>
    <w:rsid w:val="00E415E7"/>
    <w:rsid w:val="00E53A18"/>
    <w:rsid w:val="00EB422D"/>
    <w:rsid w:val="00EB7DD3"/>
    <w:rsid w:val="00ED351F"/>
    <w:rsid w:val="00EE6BC9"/>
    <w:rsid w:val="00F126FA"/>
    <w:rsid w:val="00F17A77"/>
    <w:rsid w:val="00F17BA5"/>
    <w:rsid w:val="00F3792C"/>
    <w:rsid w:val="00F720D3"/>
    <w:rsid w:val="00F91579"/>
    <w:rsid w:val="00F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0C85E29"/>
  <w15:chartTrackingRefBased/>
  <w15:docId w15:val="{597D87C4-92C5-4D4B-B201-7B0A1929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3CE9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F3C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CE9"/>
  </w:style>
  <w:style w:type="paragraph" w:styleId="Stopka">
    <w:name w:val="footer"/>
    <w:basedOn w:val="Normalny"/>
    <w:link w:val="StopkaZnak"/>
    <w:uiPriority w:val="99"/>
    <w:unhideWhenUsed/>
    <w:rsid w:val="002F3C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CE9"/>
  </w:style>
  <w:style w:type="character" w:customStyle="1" w:styleId="NagwekZnak1">
    <w:name w:val="Nagłówek Znak1"/>
    <w:rsid w:val="002F3CE9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2F3CE9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2F3CE9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2F3CE9"/>
    <w:rPr>
      <w:color w:val="0000FF"/>
      <w:u w:val="single"/>
    </w:rPr>
  </w:style>
  <w:style w:type="character" w:customStyle="1" w:styleId="u-linkcomplex-target">
    <w:name w:val="u-linkcomplex-target"/>
    <w:basedOn w:val="Domylnaczcionkaakapitu"/>
    <w:rsid w:val="002F3CE9"/>
  </w:style>
  <w:style w:type="paragraph" w:styleId="Akapitzlist">
    <w:name w:val="List Paragraph"/>
    <w:basedOn w:val="Normalny"/>
    <w:link w:val="AkapitzlistZnak"/>
    <w:uiPriority w:val="34"/>
    <w:qFormat/>
    <w:rsid w:val="002F3CE9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2F3CE9"/>
    <w:rPr>
      <w:rFonts w:ascii="Trebuchet MS" w:eastAsia="Times New Roman" w:hAnsi="Trebuchet MS" w:cs="Times New Roman"/>
      <w:sz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F3CE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F3CE9"/>
    <w:rPr>
      <w:rFonts w:ascii="Trebuchet MS" w:eastAsia="Times New Roman" w:hAnsi="Trebuchet MS" w:cs="Times New Roman"/>
      <w:sz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7E3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7E3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7E3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157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TekstNB">
    <w:name w:val="Tekst_NB"/>
    <w:basedOn w:val="Akapitzlist"/>
    <w:link w:val="TekstNBZnak"/>
    <w:qFormat/>
    <w:rsid w:val="0042544B"/>
    <w:pPr>
      <w:numPr>
        <w:numId w:val="4"/>
      </w:numPr>
      <w:spacing w:before="120" w:after="120" w:line="360" w:lineRule="auto"/>
      <w:contextualSpacing w:val="0"/>
      <w:jc w:val="both"/>
    </w:pPr>
    <w:rPr>
      <w:rFonts w:ascii="Times New Roman" w:eastAsia="Calibri" w:hAnsi="Times New Roman"/>
      <w:sz w:val="22"/>
      <w:lang w:eastAsia="pl-PL"/>
    </w:rPr>
  </w:style>
  <w:style w:type="character" w:customStyle="1" w:styleId="TekstNBZnak">
    <w:name w:val="Tekst_NB Znak"/>
    <w:basedOn w:val="Domylnaczcionkaakapitu"/>
    <w:link w:val="TekstNB"/>
    <w:rsid w:val="0042544B"/>
    <w:rPr>
      <w:rFonts w:ascii="Times New Roman" w:eastAsia="Calibri" w:hAnsi="Times New Roman" w:cs="Times New Roman"/>
      <w:lang w:eastAsia="pl-PL"/>
    </w:rPr>
  </w:style>
  <w:style w:type="paragraph" w:customStyle="1" w:styleId="Tekst1">
    <w:name w:val="Tekst_1"/>
    <w:basedOn w:val="Normalny"/>
    <w:link w:val="Tekst1Znak"/>
    <w:qFormat/>
    <w:rsid w:val="0042544B"/>
    <w:pPr>
      <w:spacing w:before="120" w:after="120" w:line="360" w:lineRule="auto"/>
      <w:jc w:val="both"/>
    </w:pPr>
    <w:rPr>
      <w:rFonts w:ascii="Times New Roman" w:hAnsi="Times New Roman"/>
      <w:sz w:val="22"/>
      <w:szCs w:val="24"/>
      <w:lang w:val="x-none" w:eastAsia="x-none"/>
    </w:rPr>
  </w:style>
  <w:style w:type="character" w:customStyle="1" w:styleId="Tekst1Znak">
    <w:name w:val="Tekst_1 Znak"/>
    <w:basedOn w:val="Domylnaczcionkaakapitu"/>
    <w:link w:val="Tekst1"/>
    <w:rsid w:val="0042544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838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838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78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783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7838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78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7838"/>
    <w:rPr>
      <w:rFonts w:ascii="Trebuchet MS" w:eastAsia="Times New Roman" w:hAnsi="Trebuchet MS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B3C85"/>
    <w:rPr>
      <w:rFonts w:ascii="Trebuchet MS" w:hAnsi="Trebuchet MS" w:hint="default"/>
      <w:b/>
      <w:bCs/>
      <w:sz w:val="32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ootnote text Znak,Tekst przypisu Znak Znak Znak Znak Znak1,footnote text Znak,Fußnote Znak"/>
    <w:basedOn w:val="Domylnaczcionkaakapitu"/>
    <w:link w:val="Tekstprzypisudolnego"/>
    <w:uiPriority w:val="99"/>
    <w:semiHidden/>
    <w:locked/>
    <w:rsid w:val="00186E22"/>
    <w:rPr>
      <w:rFonts w:ascii="Arial" w:eastAsia="Calibri" w:hAnsi="Arial" w:cs="Times New Roman"/>
      <w:sz w:val="20"/>
      <w:szCs w:val="20"/>
    </w:rPr>
  </w:style>
  <w:style w:type="paragraph" w:styleId="Tekstprzypisudolnego">
    <w:name w:val="footnote text"/>
    <w:aliases w:val="Podrozdział,Podrozdzia3,-E Fuﬂnotentext,Fuﬂnotentext Ursprung,Fußnotentext Ursprung,-E Fußnotentext,Footnote text,Tekst przypisu Znak Znak Znak Znak,Tekst przypisu Znak Znak Znak Znak Znak,footnote text,Fußnote,fn,9 pt,8,Znak"/>
    <w:basedOn w:val="Normalny"/>
    <w:link w:val="TekstprzypisudolnegoZnak"/>
    <w:uiPriority w:val="99"/>
    <w:semiHidden/>
    <w:unhideWhenUsed/>
    <w:qFormat/>
    <w:rsid w:val="00186E22"/>
    <w:rPr>
      <w:rFonts w:ascii="Arial" w:eastAsia="Calibri" w:hAnsi="Arial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86E22"/>
    <w:rPr>
      <w:rFonts w:ascii="Trebuchet MS" w:eastAsia="Times New Roman" w:hAnsi="Trebuchet MS" w:cs="Times New Roman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4EE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020FEF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A518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okik.gov.pl/zmowy-na-rynku-pracy-stop-to-nielegalne" TargetMode="External"/><Relationship Id="rId18" Type="http://schemas.openxmlformats.org/officeDocument/2006/relationships/hyperlink" Target="https://www.uokik.gov.pl/informacje_ogolne2.php" TargetMode="External"/><Relationship Id="rId26" Type="http://schemas.openxmlformats.org/officeDocument/2006/relationships/hyperlink" Target="https://uokik.gov.pl/skarbiec-palikota-zarzuty-prezesa-uokik" TargetMode="External"/><Relationship Id="rId39" Type="http://schemas.openxmlformats.org/officeDocument/2006/relationships/hyperlink" Target="https://uokik.gov.pl/uokik-po-raz-kolejny-otwiera-drzwi-druga-edycja-studenckiego-summer-camp" TargetMode="External"/><Relationship Id="rId21" Type="http://schemas.openxmlformats.org/officeDocument/2006/relationships/image" Target="media/image1.png"/><Relationship Id="rId34" Type="http://schemas.openxmlformats.org/officeDocument/2006/relationships/hyperlink" Target="https://www.youtube.com/@uokikgovpl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uokik.gov.pl/zgoda-warunkowa-dla-lafarge-cement" TargetMode="External"/><Relationship Id="rId20" Type="http://schemas.openxmlformats.org/officeDocument/2006/relationships/hyperlink" Target="https://uokik.gov.pl/tag/sprawozdanie-2024-konkurencja" TargetMode="External"/><Relationship Id="rId29" Type="http://schemas.openxmlformats.org/officeDocument/2006/relationships/hyperlink" Target="https://uokik.gov.pl/tag/sprawozdanie-2024-konsumenci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kik.gov.pl/meta-postepowanie-wyjasniajace" TargetMode="External"/><Relationship Id="rId24" Type="http://schemas.openxmlformats.org/officeDocument/2006/relationships/hyperlink" Target="https://archiwum.uokik.gov.pl/aktualnosci.php?news_id=19119" TargetMode="External"/><Relationship Id="rId32" Type="http://schemas.openxmlformats.org/officeDocument/2006/relationships/hyperlink" Target="https://x.com/UOKiKgovPL" TargetMode="External"/><Relationship Id="rId37" Type="http://schemas.openxmlformats.org/officeDocument/2006/relationships/hyperlink" Target="https://uokik.gov.pl/rozstrzygnelismy-konkurs-dla-organizacji-konsumenckich-na-edukacje-dzieci-i-mlodziezy" TargetMode="External"/><Relationship Id="rId40" Type="http://schemas.openxmlformats.org/officeDocument/2006/relationships/hyperlink" Target="https://uokik.gov.pl/Download/115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okik.gov.pl/zgoda-warunkowa-na-rynku-kabli-i-przewodow" TargetMode="External"/><Relationship Id="rId23" Type="http://schemas.openxmlformats.org/officeDocument/2006/relationships/hyperlink" Target="https://uokik.gov.pl/klauzule-inflacyjne-kara-dla-vectry-i-zwrot-dla-konsumentow" TargetMode="External"/><Relationship Id="rId28" Type="http://schemas.openxmlformats.org/officeDocument/2006/relationships/hyperlink" Target="https://www.uokik.gov.pl/system_rapex.php" TargetMode="External"/><Relationship Id="rId36" Type="http://schemas.openxmlformats.org/officeDocument/2006/relationships/hyperlink" Target="https://uokik.gov.pl/kampanie-spoleczne" TargetMode="External"/><Relationship Id="rId10" Type="http://schemas.openxmlformats.org/officeDocument/2006/relationships/hyperlink" Target="https://uokik.gov.pl/kartel-przy-sprzedazy-ciezarowek-iveco-decyzja-prezesa-uokik" TargetMode="External"/><Relationship Id="rId19" Type="http://schemas.openxmlformats.org/officeDocument/2006/relationships/hyperlink" Target="https://www.uokik.gov.pl/informacje_ogolne2.php" TargetMode="External"/><Relationship Id="rId31" Type="http://schemas.openxmlformats.org/officeDocument/2006/relationships/hyperlink" Target="https://uokik.gov.pl/bezpieczenstwo-produktow-w-erze-cyfrowej-zmiany-prawne" TargetMode="External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uokik.gov.pl/zmowa-przy-sprzedazy-samochodow-kia-decyzja-prezesa-uokik" TargetMode="External"/><Relationship Id="rId14" Type="http://schemas.openxmlformats.org/officeDocument/2006/relationships/hyperlink" Target="https://archiwum.uokik.gov.pl/aktualnosci.php?news_id=17028" TargetMode="External"/><Relationship Id="rId22" Type="http://schemas.openxmlformats.org/officeDocument/2006/relationships/hyperlink" Target="https://uokik.gov.pl/ponad-106-mln-zl-kary-dla-paypal" TargetMode="External"/><Relationship Id="rId27" Type="http://schemas.openxmlformats.org/officeDocument/2006/relationships/hyperlink" Target="https://uokik.gov.pl/Download/937" TargetMode="External"/><Relationship Id="rId30" Type="http://schemas.openxmlformats.org/officeDocument/2006/relationships/image" Target="media/image2.png"/><Relationship Id="rId35" Type="http://schemas.openxmlformats.org/officeDocument/2006/relationships/hyperlink" Target="https://www.facebook.com/uokikgovpl/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12" Type="http://schemas.openxmlformats.org/officeDocument/2006/relationships/hyperlink" Target="https://uokik.gov.pl/zmowy-na-rynku-pracy-stop-to-nielegalne" TargetMode="External"/><Relationship Id="rId17" Type="http://schemas.openxmlformats.org/officeDocument/2006/relationships/hyperlink" Target="https://uokik.gov.pl/prezes-uokik-wydal-zgode-warunkowa-na-rynku-paliw" TargetMode="External"/><Relationship Id="rId25" Type="http://schemas.openxmlformats.org/officeDocument/2006/relationships/hyperlink" Target="https://uokik.gov.pl/31-mln-zl-kary-dla-amazon" TargetMode="External"/><Relationship Id="rId33" Type="http://schemas.openxmlformats.org/officeDocument/2006/relationships/hyperlink" Target="https://www.instagram.com/uokikgovpl" TargetMode="External"/><Relationship Id="rId38" Type="http://schemas.openxmlformats.org/officeDocument/2006/relationships/hyperlink" Target="https://uokik.gov.pl/konkurs-prezesa-uokik-na-najlepsza-prace-magisterska-i-doktorska-takze-po-angielsk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BC511-6487-46AD-AFAA-28B6D01256C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CD69419-37AE-44E8-802C-3CFC656A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2800</Words>
  <Characters>16804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Klimczuk</dc:creator>
  <cp:keywords/>
  <dc:description/>
  <cp:lastModifiedBy>Grzegorz Dagis</cp:lastModifiedBy>
  <cp:revision>19</cp:revision>
  <dcterms:created xsi:type="dcterms:W3CDTF">2025-02-17T08:36:00Z</dcterms:created>
  <dcterms:modified xsi:type="dcterms:W3CDTF">2025-02-26T07:24:00Z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b6bcc27e-ed71-4012-b323-89eb7a6ca774</vt:lpwstr>
  </property>
  <property fmtid="{D5CDD505-2E9C-101B-9397-08002B2CF9AE}" pid="3" name="bjClsUserRVM">
    <vt:lpwstr>[]</vt:lpwstr>
  </property>
  <property fmtid="{D5CDD505-2E9C-101B-9397-08002B2CF9AE}" pid="4" name="bjSaver">
    <vt:lpwstr>lJoxpEYt1JlsUop1Ch/NfbpPqZpAy8xV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6" name="bjDocumentLabelXML-0">
    <vt:lpwstr>ames.com/2008/01/sie/internal/label"&gt;&lt;element uid="89790441-96e2-477c-afd4-1e96c2fd8935" value="" /&gt;&lt;/sisl&gt;</vt:lpwstr>
  </property>
  <property fmtid="{D5CDD505-2E9C-101B-9397-08002B2CF9AE}" pid="7" name="bjDocumentSecurityLabel">
    <vt:lpwstr>JAWNE</vt:lpwstr>
  </property>
</Properties>
</file>